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5F8" w:rsidRPr="005C203F" w:rsidRDefault="004F15F8" w:rsidP="004F15F8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val="uk-UA" w:eastAsia="ru-RU"/>
        </w:rPr>
      </w:pP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Дорожня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карта для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осіб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які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постраждали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від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домашнього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та/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або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за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ознакою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статі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>торгівлі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eastAsia="ru-RU"/>
        </w:rPr>
        <w:t xml:space="preserve"> л</w:t>
      </w:r>
      <w:proofErr w:type="spellStart"/>
      <w:r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val="uk-UA" w:eastAsia="ru-RU"/>
        </w:rPr>
        <w:t>юдьми</w:t>
      </w:r>
      <w:proofErr w:type="spellEnd"/>
      <w:r>
        <w:rPr>
          <w:rFonts w:ascii="Times New Roman" w:eastAsia="Times New Roman" w:hAnsi="Times New Roman" w:cs="Times New Roman"/>
          <w:b/>
          <w:bCs/>
          <w:color w:val="FB082C"/>
          <w:kern w:val="36"/>
          <w:sz w:val="30"/>
          <w:szCs w:val="30"/>
          <w:lang w:val="uk-UA" w:eastAsia="ru-RU"/>
        </w:rPr>
        <w:t xml:space="preserve"> </w:t>
      </w:r>
    </w:p>
    <w:p w:rsidR="004F15F8" w:rsidRPr="005C203F" w:rsidRDefault="004F15F8" w:rsidP="004F15F8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з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неурядових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 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жінок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та</w:t>
      </w:r>
      <w:proofErr w:type="gram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–  </w:t>
      </w:r>
      <w:proofErr w:type="spellStart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громадська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«Ла Страда –</w:t>
      </w:r>
      <w:proofErr w:type="spellStart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4F15F8" w:rsidRPr="005C203F" w:rsidRDefault="004F15F8" w:rsidP="004F15F8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рівності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</w:t>
      </w:r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5F8" w:rsidRPr="005C203F" w:rsidRDefault="004F15F8" w:rsidP="004F15F8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20-річний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одним з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першочергових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  Страда</w:t>
      </w:r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функціонують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 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дискримінації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безкоштовним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номером 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0800 500 335 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стаціонарних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телефонів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</w:t>
      </w:r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загальноєвропейським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  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116 123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безкоштовно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мобільних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телефонів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Лінія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цілодобово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дитяча</w:t>
      </w:r>
      <w:proofErr w:type="spellEnd"/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безкоштовним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номером 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0800500225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стаціонарного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  та за  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безкоштовним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коротким номером  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116  111</w:t>
      </w:r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з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мобільного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Лінія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будні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з</w:t>
      </w:r>
      <w:proofErr w:type="gram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12.00 до 20.00 та  в  </w:t>
      </w:r>
      <w:proofErr w:type="spellStart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суботу</w:t>
      </w:r>
      <w:proofErr w:type="spellEnd"/>
      <w:r w:rsidRPr="005C2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12.00  до  16.00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Особам,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в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заявою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за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ідділу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військового обліку та соціальних послуг Бородінської селищної </w:t>
      </w:r>
      <w:proofErr w:type="gram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смт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Бородіно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Будишевська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51.</w:t>
      </w:r>
    </w:p>
    <w:p w:rsidR="004F15F8" w:rsidRPr="005C203F" w:rsidRDefault="004F15F8" w:rsidP="004F15F8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звертатись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:</w:t>
      </w:r>
      <w:proofErr w:type="gramEnd"/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освіти та у справах дітей Бородінської селищної ради </w:t>
      </w:r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смт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Бородіно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Будишевська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ідділ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військового обліку та соціальних послуг Бородінської селищної ради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смт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Бородіно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Будишевська</w:t>
      </w:r>
      <w:proofErr w:type="spellEnd"/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1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</w:t>
      </w:r>
    </w:p>
    <w:p w:rsidR="004F15F8" w:rsidRPr="005C203F" w:rsidRDefault="004F15F8" w:rsidP="004F15F8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регіонах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2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proofErr w:type="gram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людьми  та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дискримінації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веб –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сторінці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hyperlink r:id="rId4" w:history="1">
        <w:r w:rsidRPr="005C203F">
          <w:rPr>
            <w:rFonts w:ascii="Times New Roman" w:eastAsia="Times New Roman" w:hAnsi="Times New Roman" w:cs="Times New Roman"/>
            <w:b/>
            <w:bCs/>
            <w:color w:val="060BB3"/>
            <w:sz w:val="28"/>
            <w:szCs w:val="28"/>
            <w:u w:val="single"/>
            <w:bdr w:val="none" w:sz="0" w:space="0" w:color="auto" w:frame="1"/>
            <w:lang w:eastAsia="ru-RU"/>
          </w:rPr>
          <w:t>http://www.msp.gov.ua</w:t>
        </w:r>
      </w:hyperlink>
    </w:p>
    <w:p w:rsidR="004C651F" w:rsidRDefault="004C651F">
      <w:bookmarkStart w:id="0" w:name="_GoBack"/>
      <w:bookmarkEnd w:id="0"/>
    </w:p>
    <w:sectPr w:rsidR="004C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F8"/>
    <w:rsid w:val="004C651F"/>
    <w:rsid w:val="004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2206-9FF3-49DC-8B37-0A24C6A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p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Ліна Шокот</dc:creator>
  <cp:keywords/>
  <dc:description/>
  <cp:lastModifiedBy>Ліна Шокот</cp:lastModifiedBy>
  <cp:revision>1</cp:revision>
  <dcterms:created xsi:type="dcterms:W3CDTF">2021-07-28T05:40:00Z</dcterms:created>
  <dcterms:modified xsi:type="dcterms:W3CDTF">2021-07-28T05:41:00Z</dcterms:modified>
</cp:coreProperties>
</file>