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76" w:rsidRDefault="00E91E76"/>
    <w:p w:rsidR="00E91E76" w:rsidRPr="00E91E76" w:rsidRDefault="00E91E76" w:rsidP="00E91E76"/>
    <w:p w:rsidR="00E91E76" w:rsidRPr="00E91E76" w:rsidRDefault="00E91E76" w:rsidP="00E91E76"/>
    <w:p w:rsidR="00E91E76" w:rsidRPr="00E91E76" w:rsidRDefault="00E91E76" w:rsidP="00E91E76"/>
    <w:p w:rsidR="00E91E76" w:rsidRPr="00E91E76" w:rsidRDefault="00E91E76" w:rsidP="00E91E76"/>
    <w:p w:rsidR="00E91E76" w:rsidRPr="00E91E76" w:rsidRDefault="00E91E76" w:rsidP="00E91E76"/>
    <w:p w:rsidR="00275510" w:rsidRPr="00E91E76" w:rsidRDefault="00E91E76" w:rsidP="00E91E76">
      <w:pPr>
        <w:tabs>
          <w:tab w:val="left" w:pos="1861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</w:t>
      </w:r>
      <w:r w:rsidR="00831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31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ПРОГРА</w:t>
      </w:r>
      <w:r w:rsidRPr="00E91E76">
        <w:rPr>
          <w:rFonts w:ascii="Times New Roman" w:hAnsi="Times New Roman" w:cs="Times New Roman"/>
          <w:b/>
          <w:sz w:val="36"/>
          <w:szCs w:val="36"/>
          <w:lang w:val="uk-UA"/>
        </w:rPr>
        <w:t>МА  «Здоров’я»</w:t>
      </w:r>
    </w:p>
    <w:p w:rsidR="00E91E76" w:rsidRDefault="00E91E76" w:rsidP="00E91E76">
      <w:pPr>
        <w:tabs>
          <w:tab w:val="left" w:pos="1861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91E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</w:t>
      </w:r>
      <w:r w:rsidR="00831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</w:t>
      </w:r>
      <w:r w:rsidRPr="00E91E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r w:rsidR="0016099A">
        <w:rPr>
          <w:rFonts w:ascii="Times New Roman" w:hAnsi="Times New Roman" w:cs="Times New Roman"/>
          <w:b/>
          <w:sz w:val="36"/>
          <w:szCs w:val="36"/>
          <w:lang w:val="uk-UA"/>
        </w:rPr>
        <w:t>а 2021-2025</w:t>
      </w:r>
      <w:r w:rsidRPr="00E91E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р.</w:t>
      </w:r>
    </w:p>
    <w:p w:rsidR="00E91E76" w:rsidRP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P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P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P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P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P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91E76" w:rsidRDefault="00E91E76" w:rsidP="00E91E76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31EF9" w:rsidRDefault="00E91E76" w:rsidP="00831EF9">
      <w:pPr>
        <w:tabs>
          <w:tab w:val="left" w:pos="3043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E91E76" w:rsidRPr="00831EF9" w:rsidRDefault="00831EF9" w:rsidP="00831EF9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                                           </w:t>
      </w:r>
      <w:r w:rsidR="00E91E76"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КОМПЛЕКСНА ПРОГРАМА</w:t>
      </w:r>
      <w:r w:rsidR="00E91E76"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br/>
      </w:r>
      <w:r w:rsid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                                                    </w:t>
      </w:r>
      <w:r w:rsid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</w:t>
      </w:r>
      <w:r w:rsidR="00E91E76"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«Здоров’я</w:t>
      </w:r>
      <w:r w:rsid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» </w:t>
      </w:r>
    </w:p>
    <w:p w:rsidR="00E91E76" w:rsidRPr="00E91E76" w:rsidRDefault="00E91E76" w:rsidP="00831EF9">
      <w:pPr>
        <w:tabs>
          <w:tab w:val="left" w:pos="1712"/>
        </w:tabs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                               </w:t>
      </w:r>
      <w:r w:rsidR="00831EF9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на 20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21</w:t>
      </w:r>
      <w:r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-202</w:t>
      </w:r>
      <w:r w:rsidR="0016099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5</w:t>
      </w:r>
      <w:r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роки</w:t>
      </w:r>
    </w:p>
    <w:p w:rsidR="00E91E76" w:rsidRPr="00E91E76" w:rsidRDefault="00E91E76" w:rsidP="00831EF9">
      <w:pPr>
        <w:tabs>
          <w:tab w:val="left" w:pos="30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Паспорт </w:t>
      </w:r>
      <w:r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Комплексної програми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«Здоров’я» на 2021</w:t>
      </w:r>
      <w:r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-202</w:t>
      </w:r>
      <w:r w:rsidR="0016099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5</w:t>
      </w:r>
      <w:r w:rsidRPr="00E91E7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072"/>
        <w:gridCol w:w="5047"/>
      </w:tblGrid>
      <w:tr w:rsidR="00E91E76" w:rsidRPr="00E91E76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Бородінський ЦПМСД» </w:t>
            </w:r>
          </w:p>
        </w:tc>
      </w:tr>
      <w:tr w:rsidR="00E91E76" w:rsidRPr="00E91E76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47" w:type="dxa"/>
            <w:shd w:val="clear" w:color="auto" w:fill="auto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E76" w:rsidRPr="00E91E76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«Бородінський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ЦПМСД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91E76" w:rsidRPr="00E91E76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E76" w:rsidRPr="00E91E76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</w:tc>
      </w:tr>
      <w:tr w:rsidR="00E91E76" w:rsidRPr="001658DA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 справах дітей Бородінської селищної ради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культури, туризму, 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 та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Бородінської селищної ради, 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  <w:proofErr w:type="spellEnd"/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91E76" w:rsidRPr="00E91E76" w:rsidTr="00831EF9"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160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91E76" w:rsidRPr="001658DA" w:rsidTr="00831EF9">
        <w:tc>
          <w:tcPr>
            <w:tcW w:w="799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бюджетів </w:t>
            </w:r>
          </w:p>
        </w:tc>
        <w:tc>
          <w:tcPr>
            <w:tcW w:w="5047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</w:t>
            </w:r>
          </w:p>
          <w:p w:rsidR="00E91E76" w:rsidRPr="00E91E76" w:rsidRDefault="00E91E76" w:rsidP="00831EF9">
            <w:pPr>
              <w:tabs>
                <w:tab w:val="left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 фінансування</w:t>
            </w:r>
          </w:p>
        </w:tc>
      </w:tr>
      <w:tr w:rsidR="00E91E76" w:rsidRPr="00E91E76" w:rsidTr="00831EF9">
        <w:trPr>
          <w:trHeight w:val="1437"/>
        </w:trPr>
        <w:tc>
          <w:tcPr>
            <w:tcW w:w="799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 тис. грн., у тому числі:</w:t>
            </w:r>
          </w:p>
        </w:tc>
        <w:tc>
          <w:tcPr>
            <w:tcW w:w="5047" w:type="dxa"/>
            <w:shd w:val="clear" w:color="auto" w:fill="auto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E76" w:rsidRPr="00E91E76" w:rsidTr="00831EF9">
        <w:trPr>
          <w:trHeight w:val="267"/>
        </w:trPr>
        <w:tc>
          <w:tcPr>
            <w:tcW w:w="799" w:type="dxa"/>
            <w:vMerge w:val="restart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072" w:type="dxa"/>
          </w:tcPr>
          <w:p w:rsidR="00E91E76" w:rsidRPr="00E91E76" w:rsidRDefault="00E91E76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047" w:type="dxa"/>
            <w:shd w:val="clear" w:color="auto" w:fill="auto"/>
          </w:tcPr>
          <w:p w:rsidR="00E91E76" w:rsidRPr="00E91E76" w:rsidRDefault="0016099A" w:rsidP="00831EF9">
            <w:pPr>
              <w:tabs>
                <w:tab w:val="left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7048 тис.</w:t>
            </w:r>
          </w:p>
        </w:tc>
      </w:tr>
      <w:tr w:rsidR="00E91E76" w:rsidRPr="00E91E76" w:rsidTr="00831EF9">
        <w:trPr>
          <w:trHeight w:val="371"/>
        </w:trPr>
        <w:tc>
          <w:tcPr>
            <w:tcW w:w="799" w:type="dxa"/>
            <w:vMerge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2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047" w:type="dxa"/>
          </w:tcPr>
          <w:p w:rsidR="00E91E76" w:rsidRPr="00E91E76" w:rsidRDefault="00E91E76" w:rsidP="00E91E7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91E76" w:rsidRPr="00E91E76" w:rsidRDefault="00E91E76" w:rsidP="00E91E76">
      <w:pPr>
        <w:tabs>
          <w:tab w:val="left" w:pos="304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E91E7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проблеми, на розв</w:t>
      </w:r>
      <w:r w:rsidRPr="00E91E76">
        <w:rPr>
          <w:rFonts w:ascii="Times New Roman" w:hAnsi="Times New Roman" w:cs="Times New Roman"/>
          <w:b/>
          <w:sz w:val="24"/>
          <w:szCs w:val="24"/>
          <w:lang w:val="uk-UA"/>
        </w:rPr>
        <w:t>’я</w:t>
      </w:r>
      <w:r w:rsidRPr="00E91E7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зання якої спрямована програма.</w:t>
      </w:r>
    </w:p>
    <w:p w:rsidR="00E91E76" w:rsidRPr="00E91E76" w:rsidRDefault="00831EF9" w:rsidP="00E91E76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В сучасних умовах в Україні сформувалась надзвичайно складна медико-демографічна ситуація. Чисельність населення впродовж останніх десятиліть неухильно скорочується. Це скорочення досягло майже 10 млн осіб – з 53 млн в кінці 80-х років ХХ ст. до 42 млн – у перших десятиліттях ХХІ ст.. Основною причиною скорочення чисельності населення України є від’ємний природний приріст, тобто перевищення числа померлих над кількістю народжених осіб. Основною причиною смертності населення України вже протягом багатьох десятиліть є хвороби системи кровообігу, які складають у структурі причин смертності більше 60%. Новоутворення стало займають другу позицію в структурі причин смерті, зовнішні дії – третю. Особливою проблемою смертності населення України є надзвичайно високий рівень її серед населення працездатного віку, особливо чоловіків. У цілому смертність чоловіків перевищує жіночу в 2–3 рази. Високий рівень смертності населення України обумовлює низький рівень середньої очікуваної тривалості життя населення, який майже на 15 років нижчий, ніж у розвинутих країнах світу, а середня очікувана тривалість життя чоловіків в Україні майже на 10 років нижча, ніж жінок. Стабільно високими зберігаються показники смертності від </w:t>
      </w:r>
      <w:proofErr w:type="spellStart"/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 системи кровообігу, новоутворень, зовнішніх причин. Показники очікуваної тривалості життя населення країни становлять 71,3 року. </w:t>
      </w:r>
    </w:p>
    <w:p w:rsidR="00E91E76" w:rsidRPr="00E91E76" w:rsidRDefault="00831EF9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У сільській місцевості на тлі зменшення чисельності населення збільшується частка осіб старшого віку. Метою демографічного розвитку України є стабілізація чисельності населення і формування передумов для демографічного росту. </w:t>
      </w:r>
    </w:p>
    <w:p w:rsidR="00E91E76" w:rsidRPr="00E91E76" w:rsidRDefault="00831EF9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Задачами демографічного росту є: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- збільшення очікуваної тривалості життя населення;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- збільшення тривалості здорового (активного) життя;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- покращення якості життя хронічно хворих та осіб з інвалідністю;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- зміцнення здоров’я дітей та підлітків, насамперед за рахунок удосконалення заходів, що спрямовані на профілактику смертності від зовнішніх дій, на боротьбу з курінням, алкоголізмом та наркоманією, а також шляхом розвитку фізичної культури та спорту та організації дозвілля;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- покращення репродуктивного здоров’я населення шляхом удосконалення профілактичної та лікувально-діагностичної допомоги;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- покращення здоров’я населення працездатного віку за рахунок раннього виявлення та адекватного лікування </w:t>
      </w:r>
      <w:proofErr w:type="spellStart"/>
      <w:r w:rsidRPr="00E91E76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 системи кровообігу, новоутворень та інфекційних </w:t>
      </w:r>
      <w:proofErr w:type="spellStart"/>
      <w:r w:rsidRPr="00E91E76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E91E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1E76" w:rsidRPr="00E91E76" w:rsidRDefault="00831EF9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Для ефективної профілактичної роботи доцільна координація дій місцевих органів державної влади, закладів охорони здоров’я, громадських об’єднань, релігійних та благодійних організацій з пропаганди здорового способу життя. Необхідним є орієнтування усіх сфер на оздоровлення умов життя, зокрема з метою створення суспільного середовища, сприятливого для вибору та засвоєння населенням моделі поведінки, орієнтованої на здоровий спосіб життя.</w:t>
      </w:r>
    </w:p>
    <w:p w:rsidR="00E91E76" w:rsidRPr="00E91E76" w:rsidRDefault="00831EF9" w:rsidP="0019254C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Разом із тим, великомасштабні демографічні дослідження свідчать про значні можливості в профілактиці </w:t>
      </w:r>
      <w:proofErr w:type="spellStart"/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. Так, захворюваності на ішемічну хворобу серця, цукровий діабет, онкологічні захворювання можна запобігти шляхом зміни факторів, що визначають спосіб життя. Доведено, що ефективність таких заходів перевищує ефект від медикаментозного лікування.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Подальше впровадження програмних заходів дозволить зосередити бюджетні кошти на найважливіших напрямах охорони здоров’я, активізувати </w:t>
      </w:r>
      <w:proofErr w:type="spellStart"/>
      <w:r w:rsidRPr="00E91E76">
        <w:rPr>
          <w:rFonts w:ascii="Times New Roman" w:hAnsi="Times New Roman" w:cs="Times New Roman"/>
          <w:sz w:val="24"/>
          <w:szCs w:val="24"/>
          <w:lang w:val="uk-UA"/>
        </w:rPr>
        <w:t>міжсекторальний</w:t>
      </w:r>
      <w:proofErr w:type="spellEnd"/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 підхід до питань профілактики захворювань та продовжувати позитивно впливати на показники здоров’я населення громади.</w:t>
      </w:r>
    </w:p>
    <w:p w:rsidR="00E91E76" w:rsidRPr="00E91E76" w:rsidRDefault="00831EF9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</w:t>
      </w:r>
      <w:r w:rsidR="00E91E76" w:rsidRPr="00E91E7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Визначення мети Програми.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поліпшення демографічної ситуації, збереження і зміцнення здоров’я населення шляхом підвищення якості та ефективності надання медичної допомоги, з пріоритетним напрямом профілактики та лікування хронічних неінфекційних та інфекційних соціально-небезпечних захворювань, найбільш значущих в соціально-економічному та медико-демографічному плані. 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Комплексна програма «Здоров’я </w:t>
      </w:r>
      <w:r w:rsidR="0016099A">
        <w:rPr>
          <w:rFonts w:ascii="Times New Roman" w:hAnsi="Times New Roman" w:cs="Times New Roman"/>
          <w:sz w:val="24"/>
          <w:szCs w:val="24"/>
          <w:lang w:val="uk-UA"/>
        </w:rPr>
        <w:t>» на 2021-2025</w:t>
      </w:r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 роки спрямована на реалізацію пріоритетів у сфері охорони здоров'я щодо профілактики хронічних неінфекційних захворювань, задоволення медичних потреб населення громади за найбільш значущими в соціально-економічному і медико-демографічному плані захворюваннями та покращення якості життя.</w:t>
      </w:r>
    </w:p>
    <w:p w:rsidR="00E91E76" w:rsidRPr="00E91E76" w:rsidRDefault="005A72AD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</w:t>
      </w:r>
      <w:r w:rsidR="00E91E76" w:rsidRPr="00E9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Обґрунтування шляхів і засобів розв’язання проблеми, обсягів та джерел фінансування. Строки та етапи виконання Програми. </w:t>
      </w:r>
    </w:p>
    <w:p w:rsidR="00E91E76" w:rsidRPr="00E91E76" w:rsidRDefault="005A72AD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Основними шляхами реалізації заходів Програми щодо розв’язання проблем у поліпшенні стану здоров’я населення громади, зниження рівнів захворюваності, інвалідності та смертності необхідно визначити: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1) проведення активної демографічної політики, охорони материнства та дитинства; 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2) впровадження сучасних методів профілактики та лікування у практику охорони здоров’я;</w:t>
      </w:r>
    </w:p>
    <w:p w:rsidR="00E91E76" w:rsidRPr="00E91E76" w:rsidRDefault="00E91E76" w:rsidP="00831EF9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3) забезпечення соціально уразливих верств населення з важкими захворюваннями лікарськими засобам, засобами реабілітації тощо для покращення якості життя.</w:t>
      </w:r>
    </w:p>
    <w:p w:rsidR="00E91E76" w:rsidRPr="00E91E76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>Виконання Програми</w:t>
      </w:r>
      <w:r w:rsidR="00817810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здійснюватиметься протягом 2021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16099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91E76" w:rsidRPr="00E91E76">
        <w:rPr>
          <w:rFonts w:ascii="Times New Roman" w:hAnsi="Times New Roman" w:cs="Times New Roman"/>
          <w:sz w:val="24"/>
          <w:szCs w:val="24"/>
          <w:lang w:val="uk-UA"/>
        </w:rPr>
        <w:t xml:space="preserve"> років у межах наявних та залучених матеріально-технічних та фінансових ресурсів, за рахунок коштів місцевого бюджету, а також інших джерел, не заборонених законодавством.</w:t>
      </w:r>
    </w:p>
    <w:p w:rsidR="00E91E76" w:rsidRPr="00E91E76" w:rsidRDefault="00E91E76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1E76">
        <w:rPr>
          <w:rFonts w:ascii="Times New Roman" w:hAnsi="Times New Roman" w:cs="Times New Roman"/>
          <w:sz w:val="24"/>
          <w:szCs w:val="24"/>
          <w:lang w:val="uk-UA"/>
        </w:rPr>
        <w:t>Обсяг фінансування Програми визначатиметься виходячи з конкретних завдань та реальних можливостей бюджету.</w:t>
      </w:r>
    </w:p>
    <w:p w:rsidR="00817810" w:rsidRPr="00025357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</w:t>
      </w:r>
      <w:r w:rsidR="00817810" w:rsidRPr="00025357">
        <w:rPr>
          <w:rFonts w:ascii="Times New Roman" w:hAnsi="Times New Roman" w:cs="Times New Roman"/>
          <w:b/>
          <w:sz w:val="24"/>
          <w:szCs w:val="24"/>
          <w:lang w:val="uk-UA"/>
        </w:rPr>
        <w:t>5. Перелік завдань і заходів Програми та результативні показники</w:t>
      </w:r>
    </w:p>
    <w:p w:rsidR="00817810" w:rsidRPr="00817810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Програми є: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створення системи медичної допомоги, зосередженої на пацієнтові;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збереження здоров’я громадян у похилому віці, подовження активного довголіття;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скорочення поширеності інфекційних захворювань, в тому числі соціально значимих;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забезпечення медичної підтримки створення здорового і безпечного фізичного середовища у громаді;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покращення питань керівництва і забезпечення якості первинної медичної допомоги тощо;</w:t>
      </w:r>
    </w:p>
    <w:p w:rsidR="00817810" w:rsidRPr="00817810" w:rsidRDefault="00025357" w:rsidP="0019254C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модернізація галузі охорони здоров’я, в тому числі шляхом впровадження інвестицій та державно-приватного партнерства.</w:t>
      </w:r>
    </w:p>
    <w:p w:rsidR="00817810" w:rsidRPr="00817810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Виконання Програми дасть можливість:</w:t>
      </w:r>
    </w:p>
    <w:p w:rsidR="00817810" w:rsidRPr="00817810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1) покращити демографічну ситуацію в громаді;</w:t>
      </w:r>
    </w:p>
    <w:p w:rsidR="00817810" w:rsidRPr="00817810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2) удосконалити організаційну структуру системи надання медичних послуг, а саме: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збільшити питому вагу медичної допомоги, що надається лікарями загальної практики - сімейними лікарями;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створити умови для реалізації принципу організації та координації лікарем загальної практики - сімейним лікарем надання пацієнтам спеціалізованої та стаціонарної медичної допомоги;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 xml:space="preserve">збільшити питому вагу чисельності пацієнтів, які починають та закінчують лікування на рівні первинної медичної допомоги; 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зосередитись на пріоритетному напрямку розвитку охорони материнства та дитинства, системі первинної медичної допомоги та інституту сімейного лікаря;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забезпечити первинну ланку медицини необхідним сучасним діагностичним обладнанням та лікувальними засобами для проведення амбулаторного лікування;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забезпечити населення послугами сімейної медицини;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визначити в якості однієї з пріоритетних тем для постійно обновлюваної соціальної реклами пропаганду здорового способу життя; з її допомогою доводити до свідомості мешканців громади необхідність активного рухливого способу життя, занять спортом, дотримання правил гігієни, правильного харчування, подолання шкідливих звичок;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забезпечити щорічне фінансування робіт по приведенню до належного стану приміщень амбулаторій та фельдшерських пунктів, придбання сучасного обладнання, лікарських засобів та витратних матеріалів.</w:t>
      </w:r>
    </w:p>
    <w:p w:rsidR="00817810" w:rsidRPr="00817810" w:rsidRDefault="005A72AD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3) підвищити якість надання медичної послуг: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поліпшити медичну допомогу вразливим верствам населення; забезпечити населення ефективними, безпечними і якісними лікарськими засобами та виробами медичного призначення;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 xml:space="preserve">покращити забезпечення закладів охорони здоров’я, що засновані на комунальній власності територіальної громади, лікарськими засобами та медичними виробами; 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забезпечити максимальне охоплення мешканців громади профілактичними оглядами з метою раннього виявлення захворювань дорослих та дітей;</w:t>
      </w:r>
    </w:p>
    <w:p w:rsidR="00817810" w:rsidRPr="00817810" w:rsidRDefault="00025357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810" w:rsidRPr="00817810">
        <w:rPr>
          <w:rFonts w:ascii="Times New Roman" w:hAnsi="Times New Roman" w:cs="Times New Roman"/>
          <w:sz w:val="24"/>
          <w:szCs w:val="24"/>
          <w:lang w:val="uk-UA"/>
        </w:rPr>
        <w:t>створити цілісну систему інформаційного забезпечення системи охорони здоров’я в умовах єдиного медичного простору, поліпшити інформаційне забезпечення закладів охорони здоров’я громади.</w:t>
      </w:r>
    </w:p>
    <w:p w:rsidR="00817810" w:rsidRPr="00025357" w:rsidRDefault="005A72AD" w:rsidP="0019254C">
      <w:pPr>
        <w:tabs>
          <w:tab w:val="left" w:pos="30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817810" w:rsidRPr="00025357">
        <w:rPr>
          <w:rFonts w:ascii="Times New Roman" w:hAnsi="Times New Roman" w:cs="Times New Roman"/>
          <w:b/>
          <w:sz w:val="24"/>
          <w:szCs w:val="24"/>
          <w:lang w:val="uk-UA"/>
        </w:rPr>
        <w:t>6. Фінансове забезпечення виконання Програми</w:t>
      </w:r>
    </w:p>
    <w:p w:rsidR="00817810" w:rsidRPr="00817810" w:rsidRDefault="00817810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7810">
        <w:rPr>
          <w:rFonts w:ascii="Times New Roman" w:hAnsi="Times New Roman" w:cs="Times New Roman"/>
          <w:sz w:val="24"/>
          <w:szCs w:val="24"/>
          <w:lang w:val="uk-UA"/>
        </w:rPr>
        <w:t>Реалізація Програми буде здійснюватися за рахунок коштів місцевого бюджету в межах асигнувань, які щороку пере</w:t>
      </w:r>
      <w:r w:rsidR="0019254C">
        <w:rPr>
          <w:rFonts w:ascii="Times New Roman" w:hAnsi="Times New Roman" w:cs="Times New Roman"/>
          <w:sz w:val="24"/>
          <w:szCs w:val="24"/>
          <w:lang w:val="uk-UA"/>
        </w:rPr>
        <w:t xml:space="preserve">дбачаються у бюджеті Бородінської </w:t>
      </w:r>
      <w:r w:rsidRPr="00817810">
        <w:rPr>
          <w:rFonts w:ascii="Times New Roman" w:hAnsi="Times New Roman" w:cs="Times New Roman"/>
          <w:sz w:val="24"/>
          <w:szCs w:val="24"/>
          <w:lang w:val="uk-UA"/>
        </w:rPr>
        <w:t>сільської ради по галузі «Охорона здоров’я» за відповідними напрямками, а також інших джерел, не заборонених законодавством.</w:t>
      </w:r>
    </w:p>
    <w:p w:rsidR="00817810" w:rsidRPr="00817810" w:rsidRDefault="00817810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7810">
        <w:rPr>
          <w:rFonts w:ascii="Times New Roman" w:hAnsi="Times New Roman" w:cs="Times New Roman"/>
          <w:sz w:val="24"/>
          <w:szCs w:val="24"/>
          <w:lang w:val="uk-UA"/>
        </w:rPr>
        <w:t>Загальний орієнтовний обсяг фінансування, необхідний для реалі</w:t>
      </w:r>
      <w:r w:rsidR="0019254C">
        <w:rPr>
          <w:rFonts w:ascii="Times New Roman" w:hAnsi="Times New Roman" w:cs="Times New Roman"/>
          <w:sz w:val="24"/>
          <w:szCs w:val="24"/>
          <w:lang w:val="uk-UA"/>
        </w:rPr>
        <w:t xml:space="preserve">зації Програми, становить       </w:t>
      </w:r>
      <w:r w:rsidRPr="00817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4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17810">
        <w:rPr>
          <w:rFonts w:ascii="Times New Roman" w:hAnsi="Times New Roman" w:cs="Times New Roman"/>
          <w:sz w:val="24"/>
          <w:szCs w:val="24"/>
          <w:lang w:val="uk-UA"/>
        </w:rPr>
        <w:t xml:space="preserve">тис. грн., у тому </w:t>
      </w:r>
      <w:r w:rsidR="0019254C">
        <w:rPr>
          <w:rFonts w:ascii="Times New Roman" w:hAnsi="Times New Roman" w:cs="Times New Roman"/>
          <w:sz w:val="24"/>
          <w:szCs w:val="24"/>
          <w:lang w:val="uk-UA"/>
        </w:rPr>
        <w:t xml:space="preserve">числі з місцевого бюджету                </w:t>
      </w:r>
      <w:r w:rsidRPr="00817810">
        <w:rPr>
          <w:rFonts w:ascii="Times New Roman" w:hAnsi="Times New Roman" w:cs="Times New Roman"/>
          <w:sz w:val="24"/>
          <w:szCs w:val="24"/>
          <w:lang w:val="uk-UA"/>
        </w:rPr>
        <w:t xml:space="preserve"> тис. грн..</w:t>
      </w:r>
    </w:p>
    <w:p w:rsidR="00025357" w:rsidRDefault="00817810" w:rsidP="005A72AD">
      <w:pPr>
        <w:tabs>
          <w:tab w:val="left" w:pos="30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7810">
        <w:rPr>
          <w:rFonts w:ascii="Times New Roman" w:hAnsi="Times New Roman" w:cs="Times New Roman"/>
          <w:sz w:val="24"/>
          <w:szCs w:val="24"/>
          <w:lang w:val="uk-UA"/>
        </w:rPr>
        <w:t>Необхідний обсяг фінансування Програми з місцевого бюджету визначається щороку, виходячи з конкретних завдань та наявності коштів.</w:t>
      </w:r>
    </w:p>
    <w:p w:rsidR="00025357" w:rsidRPr="00025357" w:rsidRDefault="005A72AD" w:rsidP="005A7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="00025357" w:rsidRPr="00025357">
        <w:rPr>
          <w:rFonts w:ascii="Times New Roman" w:hAnsi="Times New Roman" w:cs="Times New Roman"/>
          <w:b/>
          <w:sz w:val="24"/>
          <w:szCs w:val="24"/>
          <w:lang w:val="uk-UA"/>
        </w:rPr>
        <w:t>7. Координація та контроль за ходом виконання Програми</w:t>
      </w:r>
    </w:p>
    <w:p w:rsidR="00025357" w:rsidRPr="00025357" w:rsidRDefault="00025357" w:rsidP="0019254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5357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виконання заходів Програми покладається </w:t>
      </w:r>
      <w:r w:rsidR="0019254C">
        <w:rPr>
          <w:rFonts w:ascii="Times New Roman" w:hAnsi="Times New Roman" w:cs="Times New Roman"/>
          <w:sz w:val="24"/>
          <w:szCs w:val="24"/>
          <w:lang w:val="uk-UA"/>
        </w:rPr>
        <w:t xml:space="preserve">на виконавчий комітет Бородінської </w:t>
      </w:r>
      <w:r w:rsidRPr="0002535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025357" w:rsidRPr="00025357" w:rsidRDefault="00025357" w:rsidP="005A7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535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5A72A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25357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та змін зовнішніх умов, що можуть мати місце в ході реалізації Програми, допускається коригування заходів.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025357" w:rsidRPr="00025357" w:rsidRDefault="005A72AD" w:rsidP="005A7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25357" w:rsidRPr="00025357">
        <w:rPr>
          <w:rFonts w:ascii="Times New Roman" w:hAnsi="Times New Roman" w:cs="Times New Roman"/>
          <w:sz w:val="24"/>
          <w:szCs w:val="24"/>
          <w:lang w:val="uk-UA"/>
        </w:rPr>
        <w:t>За результатами виконання програми за бюджетний рік відповідальний виконавець Програми складає підсумковий звіт про результати її виконання та подає його на розгляд сільській раді разом із пояснювальною запискою.</w:t>
      </w:r>
    </w:p>
    <w:p w:rsidR="004004C5" w:rsidRDefault="004004C5" w:rsidP="005A72A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A6341" w:rsidRPr="00CA6341" w:rsidRDefault="00CA6341" w:rsidP="00CA63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3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Перелік завдань та заходів Комплексної програми «Здоров’я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 на 2021</w:t>
      </w:r>
      <w:r w:rsidRPr="00CA6341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16099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CA63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tbl>
      <w:tblPr>
        <w:tblW w:w="1592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65"/>
        <w:gridCol w:w="1700"/>
        <w:gridCol w:w="73"/>
        <w:gridCol w:w="1342"/>
        <w:gridCol w:w="1137"/>
        <w:gridCol w:w="1289"/>
        <w:gridCol w:w="851"/>
        <w:gridCol w:w="850"/>
        <w:gridCol w:w="851"/>
        <w:gridCol w:w="709"/>
        <w:gridCol w:w="61"/>
        <w:gridCol w:w="16"/>
        <w:gridCol w:w="16"/>
        <w:gridCol w:w="696"/>
        <w:gridCol w:w="16"/>
        <w:gridCol w:w="16"/>
        <w:gridCol w:w="29"/>
        <w:gridCol w:w="236"/>
        <w:gridCol w:w="615"/>
        <w:gridCol w:w="223"/>
        <w:gridCol w:w="1903"/>
        <w:gridCol w:w="426"/>
      </w:tblGrid>
      <w:tr w:rsidR="00CA6341" w:rsidRPr="00CA6341" w:rsidTr="0016099A">
        <w:trPr>
          <w:gridAfter w:val="1"/>
          <w:wAfter w:w="426" w:type="dxa"/>
          <w:trHeight w:val="630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773" w:type="dxa"/>
            <w:gridSpan w:val="2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Джерела</w:t>
            </w:r>
          </w:p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4962" w:type="dxa"/>
            <w:gridSpan w:val="13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(вартість), тис. грн., </w:t>
            </w:r>
          </w:p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 тому числі по роках: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A6341" w:rsidRPr="00CA6341" w:rsidRDefault="00CA6341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602" w:type="dxa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89" w:type="dxa"/>
            <w:gridSpan w:val="4"/>
            <w:shd w:val="clear" w:color="auto" w:fill="auto"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912" w:type="dxa"/>
            <w:gridSpan w:val="5"/>
            <w:shd w:val="clear" w:color="auto" w:fill="auto"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 Організаційно-правові засади управління охороною здоров’я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Організаційно-правові засади управління охороною здоров’я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єдиного електронного медичного простору, впровадження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телемедичних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та електронного медичного документообігу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«Бородінський ЦПМСД»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Завершення інформатиз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ації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кінця 2021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року.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2) Перехід на електронний документообіг до кінця 2021 року.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державної політики і стратегії в галузі охорони здоров`я на основі пріоритетного розвитку первинної медико-санітарної допомоги та профілактичної спрямованості збереження і зміцнення здоров’я населення з максимальним залученням населення громади до укладення декларацій про вибір лікаря, який надає первинну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медичну допомогу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Бородін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сільська рада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5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CA6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укладення декларацій про вибір лікаря, який надає первинну медичну допомогу, на рівні не менше ніж 85% громадян,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до кінця 2021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року- не менше ніж 90%.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2. Забезпечення соціальних стандартів у сфері охорони здоров’я 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499 тис.</w:t>
            </w:r>
          </w:p>
        </w:tc>
        <w:tc>
          <w:tcPr>
            <w:tcW w:w="850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lang w:val="uk-UA"/>
              </w:rPr>
              <w:t>74 тис.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 тис.</w:t>
            </w:r>
          </w:p>
        </w:tc>
        <w:tc>
          <w:tcPr>
            <w:tcW w:w="709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 тис.</w:t>
            </w:r>
          </w:p>
        </w:tc>
        <w:tc>
          <w:tcPr>
            <w:tcW w:w="805" w:type="dxa"/>
            <w:gridSpan w:val="5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113 тис.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129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21"/>
          <w:wAfter w:w="13055" w:type="dxa"/>
          <w:trHeight w:val="1275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соціальних гарантій пільгових категорій громадян в частині безоплатного та пільгового відпуску лікарських засобів за рецептами лікарів у разі амбулаторного лікування</w:t>
            </w:r>
          </w:p>
        </w:tc>
      </w:tr>
      <w:tr w:rsidR="0016099A" w:rsidRPr="00CA6341" w:rsidTr="0016099A">
        <w:trPr>
          <w:gridAfter w:val="21"/>
          <w:wAfter w:w="13055" w:type="dxa"/>
          <w:trHeight w:val="458"/>
        </w:trPr>
        <w:tc>
          <w:tcPr>
            <w:tcW w:w="602" w:type="dxa"/>
            <w:vMerge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676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 від 17 серпня 1998 р.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 тис.</w:t>
            </w:r>
          </w:p>
        </w:tc>
        <w:tc>
          <w:tcPr>
            <w:tcW w:w="850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 тис.</w:t>
            </w:r>
          </w:p>
        </w:tc>
        <w:tc>
          <w:tcPr>
            <w:tcW w:w="821" w:type="dxa"/>
            <w:gridSpan w:val="6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 тис.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показника забезпечення лікарськими засобами пільгових категорій громадян до постанови КМУ від 17 серпня 1998 р. № 1303 «Про впорядкування безоплатного та пільгового відпуску лікарських засобів за рецептами лікарів у разі амбулаторного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лікування окремих груп населення та за певними категоріями захворювань» до 90%.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3. Формування здорового способу життя та мотивації населення до здорового способу життя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135 тис.</w:t>
            </w:r>
          </w:p>
        </w:tc>
        <w:tc>
          <w:tcPr>
            <w:tcW w:w="850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 тис.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 тис.</w:t>
            </w:r>
          </w:p>
        </w:tc>
        <w:tc>
          <w:tcPr>
            <w:tcW w:w="709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 тис.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здорового способу життя та мотивації населення до здорового способу життя</w:t>
            </w:r>
          </w:p>
        </w:tc>
        <w:tc>
          <w:tcPr>
            <w:tcW w:w="170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соціальної реклами різних аспектів здорового життя, у тому числі щодо боротьби зі шкідливими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звичками, формування навичок здорового способу життя, роз’яснення важливості профілактичних медичних оглядів (виготовлення, поширення та розміщення банерів, плакатів, листівок тощо, публікації у засобах масової інформації, соціальних мережах)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16099A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Бородінська сільська рада, В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молоді та спорту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135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 тис.</w:t>
            </w:r>
          </w:p>
        </w:tc>
        <w:tc>
          <w:tcPr>
            <w:tcW w:w="821" w:type="dxa"/>
            <w:gridSpan w:val="6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 тис.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рівня розповсюдженості шкідливих звичок.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Охоплення профілактичними оглядами не менше ніж 75%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населення громади.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рівня поінформованості населення з питань здорового способу життя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602" w:type="dxa"/>
            <w:vMerge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сайті громади, у соціальних мережах інформації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щодо профілактики захворювань, пропаганди здорового способу життя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16099A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нська селищн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В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молоді та спорту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1" w:type="dxa"/>
            <w:gridSpan w:val="6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Удосконалення профілактичного напряму медичної допомоги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682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407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профілактичної спрямованості надання медичних послуг</w:t>
            </w:r>
          </w:p>
        </w:tc>
        <w:tc>
          <w:tcPr>
            <w:tcW w:w="170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скринінгових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 для раннього виявлення захворювань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16099A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нська селищн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рада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 тис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рівня захворюваності населення, своєчасне виявлення факторів ризику розвитку захворювань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обов’язкових медичних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втручань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пацієнтів з наявними факторами ризику розвитку окремих захворювань</w:t>
            </w:r>
          </w:p>
        </w:tc>
        <w:tc>
          <w:tcPr>
            <w:tcW w:w="170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та витратних матеріалів для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скринінгового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профілактичного обстеження населення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16099A" w:rsidRPr="00DD51F2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ЦПМСД»,</w:t>
            </w:r>
          </w:p>
          <w:p w:rsidR="0016099A" w:rsidRPr="00CA6341" w:rsidRDefault="001658D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Бородінська селищн</w:t>
            </w:r>
            <w:r w:rsidR="0016099A" w:rsidRPr="00DD5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рада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 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 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лабораторного обладнання (біохімічного аналізатора) для проведення обстеження населення з метою виявлення факторів ризику розвитку захворювань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Охоплення профілактичними оглядами до 75% населення 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4.3.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обов’язкових профілактичних медичних оглядів</w:t>
            </w:r>
          </w:p>
        </w:tc>
        <w:tc>
          <w:tcPr>
            <w:tcW w:w="170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медичного огляду працівників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ЦПМСД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рівня захворюваності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 Покращення надання медичної допомоги населенню громади із серцево-судинними захворюваннями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 тис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64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діагностики та лікування хворих відповідно до сучасних клінічних протоколів медичної допомоги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Pr="0071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«Бородінський ЦПМСД»,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комплектами експрес-тестів (тест-смужками) для визначення Т-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тропоніну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холестерину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  <w:shd w:val="clear" w:color="auto" w:fill="auto"/>
          </w:tcPr>
          <w:p w:rsidR="0016099A" w:rsidRPr="007140F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ЦПМСД»,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 тис. 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тис.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відповідно до потреби </w:t>
            </w:r>
            <w:r w:rsidRPr="0071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«Бородінський </w:t>
            </w:r>
            <w:proofErr w:type="spellStart"/>
            <w:r w:rsidRPr="0071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ЦПМСД»,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комплектах експрес-тестів (тест-смужок) для визначення Т-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тропоніну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холестерину</w:t>
            </w:r>
          </w:p>
        </w:tc>
      </w:tr>
      <w:tr w:rsidR="0016099A" w:rsidRPr="00CA6341" w:rsidTr="0016099A">
        <w:trPr>
          <w:gridAfter w:val="1"/>
          <w:wAfter w:w="426" w:type="dxa"/>
          <w:trHeight w:val="2040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5.2.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Пропаганда здорового способу життя серед населення та підвищення його обізнаності з питань профілактики і основних проявів серцево-судинних і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мозково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-судинних захворювань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засобів масової інформації (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та радіопередачі, преса, відеопокази, санітарні бюлетені, пам’ятки тощо) до пропаганди зорового образу життя та профілактики серцево-судинних захворювань</w:t>
            </w:r>
          </w:p>
        </w:tc>
        <w:tc>
          <w:tcPr>
            <w:tcW w:w="1342" w:type="dxa"/>
            <w:shd w:val="clear" w:color="auto" w:fill="auto"/>
          </w:tcPr>
          <w:p w:rsidR="0016099A" w:rsidRPr="007140F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у населення знань і вмінь самостійно приймати рішення з питань збереження і зміцнення свого здоров’я.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Tr="0016099A">
        <w:tblPrEx>
          <w:tblLook w:val="0000" w:firstRow="0" w:lastRow="0" w:firstColumn="0" w:lastColumn="0" w:noHBand="0" w:noVBand="0"/>
        </w:tblPrEx>
        <w:trPr>
          <w:gridBefore w:val="18"/>
          <w:gridAfter w:val="4"/>
          <w:wBefore w:w="12519" w:type="dxa"/>
          <w:wAfter w:w="3167" w:type="dxa"/>
          <w:trHeight w:val="16"/>
        </w:trPr>
        <w:tc>
          <w:tcPr>
            <w:tcW w:w="236" w:type="dxa"/>
          </w:tcPr>
          <w:p w:rsidR="0016099A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765"/>
        </w:trPr>
        <w:tc>
          <w:tcPr>
            <w:tcW w:w="602" w:type="dxa"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активного виявлення пацієнтів з факторами ризику і ранніми стадіями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кровообігу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активного виявлення пацієнтів з факторами ризику і ранніми стадіями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системи кровообігу</w:t>
            </w:r>
          </w:p>
        </w:tc>
        <w:tc>
          <w:tcPr>
            <w:tcW w:w="1342" w:type="dxa"/>
            <w:shd w:val="clear" w:color="auto" w:fill="auto"/>
          </w:tcPr>
          <w:p w:rsidR="0016099A" w:rsidRPr="007140F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Створення, серед жителів громади, стійкої тенденції до зниження рівня захворюваності на хвороби системи кровообігу та зниження частоти розвитку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ускладнень захворювань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6. Забезпечення лікування хворих на цукровий діабет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1658DA" w:rsidTr="0016099A">
        <w:trPr>
          <w:gridAfter w:val="1"/>
          <w:wAfter w:w="426" w:type="dxa"/>
          <w:trHeight w:val="1275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рівня обізнаності населення стосовно проблем виникнення захворювання на цукровий діабет 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санітарно-просвітницької роботи серед населення з питань запобігання розвитку захворювання на цукровий діабет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обізнаності населення щодо факторів розвитку захворювання, зниження розвитку ускладнень захворювання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7. Імунопрофілактика та захист населення від інфекційних </w:t>
            </w:r>
            <w:proofErr w:type="spellStart"/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хвороб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132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профілактичних та протиепідемічних заходів щодо запобігання поширенню інфекційних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боротьба з якими проводиться за допомогою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засобів імунопрофілактики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повного та своєчасного охоплення профілактичними щепленнями цільових груп населення, в тому числі в разі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необхідності за епідемічними показаннями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потреби у сироватках для імунопрофілактики (в тому числі екстреної) інфекційних захворювань за епідемічними показаннями.</w:t>
            </w:r>
          </w:p>
        </w:tc>
      </w:tr>
      <w:tr w:rsidR="0016099A" w:rsidRPr="00CA6341" w:rsidTr="0016099A">
        <w:trPr>
          <w:gridAfter w:val="1"/>
          <w:wAfter w:w="426" w:type="dxa"/>
          <w:trHeight w:val="566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інформаційних кампаній серед населення громади, батьків вихованців навчальних закладів щодо необхідності проведення профілактичних щеплень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фінансування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обізнаності населення щодо необхідності проведення профілактичних щеплень</w:t>
            </w:r>
          </w:p>
        </w:tc>
      </w:tr>
      <w:tr w:rsidR="0016099A" w:rsidRPr="00CA6341" w:rsidTr="0016099A">
        <w:trPr>
          <w:gridAfter w:val="1"/>
          <w:wAfter w:w="426" w:type="dxa"/>
          <w:trHeight w:val="1530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підвищення кваліфікації медичних працівників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підготовки з питань імунопрофілактики фахівців, які беруть участь у здійсненні заходів з імунопрофілактики препаратів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фінансування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виконання плану профілактичних щеплень, попередження виникнення ускладнень </w:t>
            </w:r>
          </w:p>
        </w:tc>
      </w:tr>
      <w:tr w:rsidR="0016099A" w:rsidRPr="00CA6341" w:rsidTr="0016099A">
        <w:trPr>
          <w:gridAfter w:val="1"/>
          <w:wAfter w:w="426" w:type="dxa"/>
          <w:trHeight w:val="51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семінарів і нарад з питань імунопрофілактики для фахівців 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фінансування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2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виконання плану профілактичних щеплень, попередження виникнення ускладнень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 Медична допомога населенню з онкологічними захворюваннями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543 тис.</w:t>
            </w:r>
          </w:p>
        </w:tc>
        <w:tc>
          <w:tcPr>
            <w:tcW w:w="850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 тис.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 тис.</w:t>
            </w:r>
          </w:p>
        </w:tc>
        <w:tc>
          <w:tcPr>
            <w:tcW w:w="802" w:type="dxa"/>
            <w:gridSpan w:val="4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107 тис.</w:t>
            </w:r>
          </w:p>
        </w:tc>
        <w:tc>
          <w:tcPr>
            <w:tcW w:w="696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123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141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1530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медичної допомоги населенню з онкологічними захворюваннями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раннього виявлення злоякісних пухлин шляхом підвищення ефективності профілактичного медичного огляду населення та диспансерного спостереження за хворими з передпухлинними захворюваннями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фінансування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2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пацієнтів з передпухлинними захворюваннями диспансеризацією на рівні не нижче 85%.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Зниження питомої ваги хворих із запущеними випадками візуальними формами онкологічних захворювань 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реєстру жителів громади, що належать до груп підвищеного ризику, з метою диспансерного спостереження та своєчасного лікування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фінансування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2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7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диспансерним наглядом не менше ніж 90% пацієнтів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знеболювальними препаратами хворих на онкологічні захворювання відповідно до показань за рецептами лікарів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 тис.</w:t>
            </w:r>
          </w:p>
        </w:tc>
        <w:tc>
          <w:tcPr>
            <w:tcW w:w="802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 тис.</w:t>
            </w:r>
          </w:p>
        </w:tc>
        <w:tc>
          <w:tcPr>
            <w:tcW w:w="757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повної потреби хворих на онкологічні захворювання у знеболювальних лікарських засобах 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окремих послуг паліативної допомоги пацієнтам усіх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вікових категорій, відповідно до Порядку надання первинної медичної допомоги, затвердженого наказом Міністерства охорони здоров’я України від 19 березня 2018 року № 504</w:t>
            </w:r>
          </w:p>
        </w:tc>
        <w:tc>
          <w:tcPr>
            <w:tcW w:w="1342" w:type="dxa"/>
            <w:shd w:val="clear" w:color="auto" w:fill="auto"/>
          </w:tcPr>
          <w:p w:rsidR="0016099A" w:rsidRPr="00FD3B68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фінансування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пацієнтів з онкологічними захворюваннями паліативною допомогою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до показань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9. Протидія соціально-небезпечним інфекційним захворюванням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134 тис.</w:t>
            </w:r>
          </w:p>
        </w:tc>
        <w:tc>
          <w:tcPr>
            <w:tcW w:w="850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тис.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 тис.</w:t>
            </w:r>
          </w:p>
        </w:tc>
        <w:tc>
          <w:tcPr>
            <w:tcW w:w="709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 тис.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медичної допомоги населенню з захворюванням на туберкульоз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охоплення населення періодичними флюорографічними оглядами 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3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затрат 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населення періодичними флюорографічними на рівні не нижче ніж 85%</w:t>
            </w:r>
          </w:p>
        </w:tc>
      </w:tr>
      <w:tr w:rsidR="0016099A" w:rsidRPr="001658DA" w:rsidTr="0016099A">
        <w:trPr>
          <w:gridAfter w:val="1"/>
          <w:wAfter w:w="426" w:type="dxa"/>
          <w:trHeight w:val="1275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щорічного проведення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туберкуліно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діагностики серед дитячого населення віком від 4 до 14 років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тис.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охоплення </w:t>
            </w: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туберкуліно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-діагностикою не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менше 98 відсотків дитячого населення віком від 4 до 14 років (щороку)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10. Покращення системи надання медичної допомоги дітям з інвалідністю та особам з інвалідністю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674 тис.</w:t>
            </w:r>
          </w:p>
        </w:tc>
        <w:tc>
          <w:tcPr>
            <w:tcW w:w="850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851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 тис.</w:t>
            </w:r>
          </w:p>
        </w:tc>
        <w:tc>
          <w:tcPr>
            <w:tcW w:w="709" w:type="dxa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132 тис.</w:t>
            </w:r>
          </w:p>
        </w:tc>
        <w:tc>
          <w:tcPr>
            <w:tcW w:w="789" w:type="dxa"/>
            <w:gridSpan w:val="4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 тис.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6099A" w:rsidRPr="0016099A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9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5037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активної роботи щодо попередження зростання інвалідності серед дитячого та дорослого населення, запровадження найбільш ефективних заходів щодо їх профілактики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 щодо профілактики інвалідності серед дітей та дорослих , поліпшення організації медичної допомоги особам з інвалідністю шляхом забезпечення їм рівного доступу до надання медичної допомоги та реабілітації.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якості життя та зниження показників інвалідності серед дітей та дорослих працездатного віку </w:t>
            </w:r>
          </w:p>
        </w:tc>
      </w:tr>
      <w:tr w:rsidR="0016099A" w:rsidRPr="00CA6341" w:rsidTr="0016099A">
        <w:trPr>
          <w:gridAfter w:val="1"/>
          <w:wAfter w:w="426" w:type="dxa"/>
          <w:trHeight w:val="1550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10.2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повноцінного медичного спостереження дітей з інвалідністю та осіб з інвалідністю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активного патронажу медичними працівниками дітей з інвалідністю та осіб з інвалідністю, дотримання нормативно-правових актів, передбачених соціальних гарантій в системі охорони здоров`я, а саме: медикаментозного, реабілітаційного, санаторно-курортного забезпечення, своєчасного оформлення медичних документів для вирішення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соціальних питань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9" w:type="dxa"/>
            <w:gridSpan w:val="6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охоплення дітей з інвалідністю та осіб з інвалідністю регулярним патронажем медичними працівниками </w:t>
            </w:r>
          </w:p>
        </w:tc>
      </w:tr>
      <w:tr w:rsidR="0016099A" w:rsidRPr="00CA6341" w:rsidTr="0016099A">
        <w:trPr>
          <w:gridAfter w:val="1"/>
          <w:wAfter w:w="426" w:type="dxa"/>
          <w:trHeight w:val="2295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дітей з інвалідністю та осіб з інвалідністю технічними та іншими засобами реабілітації 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дітей з інвалідністю та осіб з інвалідністю технічними та іншими засобами реабілітації відповідно до Порядку, затвердженого Постановою Кабінету Міністрів України від 5 квітня 2012 р. № 321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674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 тис.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 тис.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технічними та іншими засобами реабілітації відповідно до потреби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11. Стоматологічна допомога населенню 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338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 тис.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 тис.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 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538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зубопротезування пільгових категорій громадян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10.1.1. Забезпечення зубопротезування (за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винятком протезування з дорогоцінних металів, кераміки, металокераміки) пільгових категорій громадян 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тис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 тис.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Задоволення потреби пільгових категорій громадян в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зубопротезуванні (згідно черговості) 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12 Медичне обслуговування учасників АТО та членів їх сімей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338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 тис.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 тис.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медичних послуг учасникам АТО 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безоплатного та пільгового відпуску лікарських засобів за рецептами лікарів 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тис.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 тис.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Задоволення потреби учасників АТО в лікарських засобах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щорічних профілактичних оглядів 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  <w:proofErr w:type="spellEnd"/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ЦРЛ»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учасників АТО щорічними періодичними медичними оглядами</w:t>
            </w:r>
          </w:p>
        </w:tc>
      </w:tr>
      <w:tr w:rsidR="0016099A" w:rsidRPr="00CA6341" w:rsidTr="0016099A">
        <w:trPr>
          <w:gridAfter w:val="1"/>
          <w:wAfter w:w="426" w:type="dxa"/>
          <w:trHeight w:val="315"/>
        </w:trPr>
        <w:tc>
          <w:tcPr>
            <w:tcW w:w="8408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13. Зміцнення здоров’я дитячого населення, забезпечення умов здорового дитинства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організації надання медичної допомоги дітям та підліткам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реєстру жителів громади що належать до груп підвищеного ризику, з метою диспансерного спостереження та своєчасного лікування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потреби в профілактиці захворювань та оздоро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вленні дітей та підлітків у 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роках</w:t>
            </w:r>
          </w:p>
        </w:tc>
      </w:tr>
      <w:tr w:rsidR="0016099A" w:rsidRPr="00CA6341" w:rsidTr="0016099A">
        <w:trPr>
          <w:gridAfter w:val="1"/>
          <w:wAfter w:w="426" w:type="dxa"/>
          <w:trHeight w:val="1785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стану здоров’я та захворюваності дітей та підлітків, в тому числі стану їхнього фізичного та психологічного розвитку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молоді та спорту 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3" w:type="dxa"/>
            <w:gridSpan w:val="5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санітарно-оздоровчих заходів, проведення корекції режиму навчання відповідно до даних моніторингу стану здоров’я та захворюваності</w:t>
            </w:r>
          </w:p>
        </w:tc>
      </w:tr>
      <w:tr w:rsidR="0016099A" w:rsidRPr="00CA6341" w:rsidTr="0016099A">
        <w:trPr>
          <w:trHeight w:val="102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дітей та підлітків навичок здорового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способу життя шляхом навчання та виховання. 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санітарної обізнаності батьків</w:t>
            </w:r>
          </w:p>
        </w:tc>
        <w:tc>
          <w:tcPr>
            <w:tcW w:w="1342" w:type="dxa"/>
            <w:shd w:val="clear" w:color="auto" w:fill="auto"/>
          </w:tcPr>
          <w:p w:rsidR="0016099A" w:rsidRPr="00325923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325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освіти, молоді та спорту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9" w:type="dxa"/>
            <w:gridSpan w:val="6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рівня захворюваності та травматизму дітей</w:t>
            </w:r>
          </w:p>
        </w:tc>
      </w:tr>
      <w:tr w:rsidR="0016099A" w:rsidRPr="00CA6341" w:rsidTr="0016099A">
        <w:trPr>
          <w:gridAfter w:val="1"/>
          <w:wAfter w:w="426" w:type="dxa"/>
          <w:trHeight w:val="421"/>
        </w:trPr>
        <w:tc>
          <w:tcPr>
            <w:tcW w:w="8408" w:type="dxa"/>
            <w:gridSpan w:val="7"/>
            <w:shd w:val="clear" w:color="auto" w:fill="auto"/>
          </w:tcPr>
          <w:p w:rsidR="0016099A" w:rsidRPr="00AB773A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 Покращення матеріально-технічної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бази </w:t>
            </w:r>
            <w:r w:rsidRPr="00AB7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КП «Бородінський ЦПМСД»</w:t>
            </w:r>
          </w:p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3025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1370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380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393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427 тис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455 тис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16099A" w:rsidRPr="00CA6341" w:rsidTr="0016099A">
        <w:trPr>
          <w:gridAfter w:val="1"/>
          <w:wAfter w:w="426" w:type="dxa"/>
          <w:trHeight w:val="765"/>
        </w:trPr>
        <w:tc>
          <w:tcPr>
            <w:tcW w:w="602" w:type="dxa"/>
            <w:vMerge w:val="restart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обладнання, м’якого та твердого інвентарю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медичним та іншим обладнанням амбулаторій загальної практики-сімейної медицини відповідно до табеля оснащення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 ЦПМСД», Бородінська селищн</w:t>
            </w: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рада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 тис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амбулаторій загальної практики-сімейної медицини медичним та іншим обладнаннями у відповідності до потреб громади</w:t>
            </w:r>
          </w:p>
        </w:tc>
      </w:tr>
      <w:tr w:rsidR="0016099A" w:rsidRPr="00CA6341" w:rsidTr="0016099A">
        <w:trPr>
          <w:gridAfter w:val="1"/>
          <w:wAfter w:w="426" w:type="dxa"/>
          <w:trHeight w:val="1020"/>
        </w:trPr>
        <w:tc>
          <w:tcPr>
            <w:tcW w:w="602" w:type="dxa"/>
            <w:vMerge/>
            <w:vAlign w:val="center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Merge/>
            <w:vAlign w:val="center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оновлення м’якого та твердого інвентарю амбулаторій загальної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практики-сімейної медицини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 «Бородінс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ький ЦПМСД», Бородінська 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</w:t>
            </w: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рада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Задоволення потреб амбулаторій загальної практики-сімейної медицини в твердому та 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м’якому інвентарі до кінця 2021 року.</w:t>
            </w:r>
          </w:p>
        </w:tc>
      </w:tr>
      <w:tr w:rsidR="0016099A" w:rsidRPr="001658DA" w:rsidTr="0016099A">
        <w:trPr>
          <w:gridAfter w:val="1"/>
          <w:wAfter w:w="426" w:type="dxa"/>
          <w:trHeight w:val="1275"/>
        </w:trPr>
        <w:tc>
          <w:tcPr>
            <w:tcW w:w="602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14.2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протипожежної безпеки та інші заходи безпеки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безпечного перебування пацієнтів у закладах охорони здоров’я </w:t>
            </w:r>
          </w:p>
        </w:tc>
        <w:tc>
          <w:tcPr>
            <w:tcW w:w="1342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</w:t>
            </w:r>
            <w:r w:rsidR="00165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 ЦПМСД», Бородінська селищн</w:t>
            </w: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рада</w:t>
            </w:r>
          </w:p>
        </w:tc>
        <w:tc>
          <w:tcPr>
            <w:tcW w:w="1137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Задоволення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 </w:t>
            </w:r>
            <w:r w:rsidRPr="00AB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«Бородінський ЦПМСД»</w:t>
            </w: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протипожежному інвентарі, оснащенні пожежною сигналізацією, системою оповіщення, обладнанні аварійним та евакуаційним освітленням </w:t>
            </w:r>
          </w:p>
        </w:tc>
      </w:tr>
      <w:tr w:rsidR="0016099A" w:rsidRPr="0016099A" w:rsidTr="0016099A">
        <w:trPr>
          <w:gridAfter w:val="1"/>
          <w:wAfter w:w="426" w:type="dxa"/>
          <w:trHeight w:val="388"/>
        </w:trPr>
        <w:tc>
          <w:tcPr>
            <w:tcW w:w="7119" w:type="dxa"/>
            <w:gridSpan w:val="6"/>
            <w:shd w:val="clear" w:color="auto" w:fill="auto"/>
            <w:noWrap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 за Програмою</w:t>
            </w:r>
          </w:p>
        </w:tc>
        <w:tc>
          <w:tcPr>
            <w:tcW w:w="128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 інші джерела фінансування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7048 тис.</w:t>
            </w:r>
          </w:p>
        </w:tc>
        <w:tc>
          <w:tcPr>
            <w:tcW w:w="850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1943 тис.</w:t>
            </w:r>
          </w:p>
        </w:tc>
        <w:tc>
          <w:tcPr>
            <w:tcW w:w="851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1376 тис.</w:t>
            </w:r>
          </w:p>
        </w:tc>
        <w:tc>
          <w:tcPr>
            <w:tcW w:w="709" w:type="dxa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1114 тис.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1243 тис.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1372 тис.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099A" w:rsidRPr="00CA6341" w:rsidRDefault="0016099A" w:rsidP="00160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004C5" w:rsidRPr="004004C5" w:rsidRDefault="004004C5" w:rsidP="004004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04C5" w:rsidRPr="004004C5" w:rsidRDefault="004004C5" w:rsidP="004004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04C5" w:rsidRPr="004004C5" w:rsidRDefault="004004C5" w:rsidP="004004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04C5" w:rsidRPr="004004C5" w:rsidRDefault="004004C5" w:rsidP="004004C5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4004C5" w:rsidRPr="004004C5" w:rsidSect="00831E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558F5"/>
    <w:multiLevelType w:val="hybridMultilevel"/>
    <w:tmpl w:val="9BCA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55AC"/>
    <w:multiLevelType w:val="hybridMultilevel"/>
    <w:tmpl w:val="D3CE47A4"/>
    <w:lvl w:ilvl="0" w:tplc="226CFF6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94C0D"/>
    <w:multiLevelType w:val="hybridMultilevel"/>
    <w:tmpl w:val="4F9218C6"/>
    <w:lvl w:ilvl="0" w:tplc="B016D85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54"/>
    <w:rsid w:val="00025357"/>
    <w:rsid w:val="0016099A"/>
    <w:rsid w:val="001658DA"/>
    <w:rsid w:val="0019254C"/>
    <w:rsid w:val="00275510"/>
    <w:rsid w:val="00325923"/>
    <w:rsid w:val="004004C5"/>
    <w:rsid w:val="005A72AD"/>
    <w:rsid w:val="007140F8"/>
    <w:rsid w:val="00807A54"/>
    <w:rsid w:val="00817810"/>
    <w:rsid w:val="00831EF9"/>
    <w:rsid w:val="008F2E85"/>
    <w:rsid w:val="00AB773A"/>
    <w:rsid w:val="00CA6341"/>
    <w:rsid w:val="00DD51F2"/>
    <w:rsid w:val="00E82712"/>
    <w:rsid w:val="00E91E76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2795-21C8-4E93-A498-FDA816E2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634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082"/>
      <w:outlineLvl w:val="0"/>
    </w:pPr>
    <w:rPr>
      <w:rFonts w:ascii="Arial" w:eastAsia="Times New Roman" w:hAnsi="Arial" w:cs="Arial"/>
      <w:color w:val="000000"/>
      <w:spacing w:val="-21"/>
      <w:sz w:val="28"/>
      <w:szCs w:val="20"/>
      <w:lang w:val="uk-UA" w:eastAsia="uk-UA"/>
    </w:rPr>
  </w:style>
  <w:style w:type="paragraph" w:styleId="2">
    <w:name w:val="heading 2"/>
    <w:basedOn w:val="a0"/>
    <w:next w:val="a0"/>
    <w:link w:val="20"/>
    <w:qFormat/>
    <w:rsid w:val="00CA6341"/>
    <w:pPr>
      <w:keepNext/>
      <w:widowControl w:val="0"/>
      <w:shd w:val="clear" w:color="auto" w:fill="FFFFFF"/>
      <w:autoSpaceDE w:val="0"/>
      <w:autoSpaceDN w:val="0"/>
      <w:adjustRightInd w:val="0"/>
      <w:spacing w:after="0" w:line="206" w:lineRule="exact"/>
      <w:ind w:left="571"/>
      <w:jc w:val="center"/>
      <w:outlineLvl w:val="1"/>
    </w:pPr>
    <w:rPr>
      <w:rFonts w:ascii="Arial" w:eastAsia="Times New Roman" w:hAnsi="Arial" w:cs="Arial"/>
      <w:b/>
      <w:color w:val="000000"/>
      <w:spacing w:val="3"/>
      <w:sz w:val="18"/>
      <w:szCs w:val="20"/>
      <w:lang w:val="uk-UA" w:eastAsia="uk-UA"/>
    </w:rPr>
  </w:style>
  <w:style w:type="paragraph" w:styleId="3">
    <w:name w:val="heading 3"/>
    <w:basedOn w:val="a0"/>
    <w:next w:val="a0"/>
    <w:link w:val="30"/>
    <w:qFormat/>
    <w:rsid w:val="00CA6341"/>
    <w:pPr>
      <w:keepNext/>
      <w:widowControl w:val="0"/>
      <w:shd w:val="clear" w:color="auto" w:fill="FFFFFF"/>
      <w:autoSpaceDE w:val="0"/>
      <w:autoSpaceDN w:val="0"/>
      <w:adjustRightInd w:val="0"/>
      <w:spacing w:before="197" w:after="0" w:line="206" w:lineRule="exact"/>
      <w:ind w:right="38"/>
      <w:jc w:val="center"/>
      <w:outlineLvl w:val="2"/>
    </w:pPr>
    <w:rPr>
      <w:rFonts w:ascii="Arial" w:eastAsia="Times New Roman" w:hAnsi="Arial" w:cs="Arial"/>
      <w:b/>
      <w:szCs w:val="20"/>
      <w:lang w:val="uk-UA" w:eastAsia="uk-UA"/>
    </w:rPr>
  </w:style>
  <w:style w:type="paragraph" w:styleId="4">
    <w:name w:val="heading 4"/>
    <w:basedOn w:val="a0"/>
    <w:next w:val="a0"/>
    <w:link w:val="40"/>
    <w:qFormat/>
    <w:rsid w:val="00CA634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paragraph" w:styleId="5">
    <w:name w:val="heading 5"/>
    <w:basedOn w:val="a0"/>
    <w:next w:val="a0"/>
    <w:link w:val="50"/>
    <w:qFormat/>
    <w:rsid w:val="00CA6341"/>
    <w:pPr>
      <w:keepNext/>
      <w:widowControl w:val="0"/>
      <w:autoSpaceDE w:val="0"/>
      <w:autoSpaceDN w:val="0"/>
      <w:adjustRightInd w:val="0"/>
      <w:spacing w:after="0" w:line="260" w:lineRule="auto"/>
      <w:ind w:left="4536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paragraph" w:styleId="6">
    <w:name w:val="heading 6"/>
    <w:basedOn w:val="a0"/>
    <w:next w:val="a0"/>
    <w:link w:val="60"/>
    <w:qFormat/>
    <w:rsid w:val="00CA6341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paragraph" w:styleId="7">
    <w:name w:val="heading 7"/>
    <w:basedOn w:val="a0"/>
    <w:next w:val="a0"/>
    <w:link w:val="70"/>
    <w:qFormat/>
    <w:rsid w:val="00CA6341"/>
    <w:pPr>
      <w:keepNext/>
      <w:widowControl w:val="0"/>
      <w:autoSpaceDE w:val="0"/>
      <w:autoSpaceDN w:val="0"/>
      <w:adjustRightInd w:val="0"/>
      <w:spacing w:after="0" w:line="260" w:lineRule="auto"/>
      <w:ind w:left="4536"/>
      <w:jc w:val="both"/>
      <w:outlineLvl w:val="6"/>
    </w:pPr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9">
    <w:name w:val="heading 9"/>
    <w:basedOn w:val="a0"/>
    <w:next w:val="a0"/>
    <w:link w:val="90"/>
    <w:qFormat/>
    <w:rsid w:val="00CA6341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6341"/>
    <w:rPr>
      <w:rFonts w:ascii="Arial" w:eastAsia="Times New Roman" w:hAnsi="Arial" w:cs="Arial"/>
      <w:color w:val="000000"/>
      <w:spacing w:val="-21"/>
      <w:sz w:val="28"/>
      <w:szCs w:val="20"/>
      <w:shd w:val="clear" w:color="auto" w:fill="FFFFFF"/>
      <w:lang w:val="uk-UA" w:eastAsia="uk-UA"/>
    </w:rPr>
  </w:style>
  <w:style w:type="character" w:customStyle="1" w:styleId="20">
    <w:name w:val="Заголовок 2 Знак"/>
    <w:basedOn w:val="a1"/>
    <w:link w:val="2"/>
    <w:rsid w:val="00CA6341"/>
    <w:rPr>
      <w:rFonts w:ascii="Arial" w:eastAsia="Times New Roman" w:hAnsi="Arial" w:cs="Arial"/>
      <w:b/>
      <w:color w:val="000000"/>
      <w:spacing w:val="3"/>
      <w:sz w:val="18"/>
      <w:szCs w:val="20"/>
      <w:shd w:val="clear" w:color="auto" w:fill="FFFFFF"/>
      <w:lang w:val="uk-UA" w:eastAsia="uk-UA"/>
    </w:rPr>
  </w:style>
  <w:style w:type="character" w:customStyle="1" w:styleId="30">
    <w:name w:val="Заголовок 3 Знак"/>
    <w:basedOn w:val="a1"/>
    <w:link w:val="3"/>
    <w:rsid w:val="00CA6341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basedOn w:val="a1"/>
    <w:link w:val="4"/>
    <w:rsid w:val="00CA634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basedOn w:val="a1"/>
    <w:link w:val="5"/>
    <w:rsid w:val="00CA6341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1"/>
    <w:link w:val="6"/>
    <w:rsid w:val="00CA6341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basedOn w:val="a1"/>
    <w:link w:val="7"/>
    <w:rsid w:val="00CA6341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basedOn w:val="a1"/>
    <w:link w:val="9"/>
    <w:rsid w:val="00CA6341"/>
    <w:rPr>
      <w:rFonts w:ascii="Arial" w:eastAsia="Times New Roman" w:hAnsi="Arial" w:cs="Arial"/>
      <w:lang w:val="uk-UA" w:eastAsia="ru-RU"/>
    </w:rPr>
  </w:style>
  <w:style w:type="paragraph" w:customStyle="1" w:styleId="21">
    <w:name w:val="Основной текст 21"/>
    <w:basedOn w:val="a0"/>
    <w:rsid w:val="00CA63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Arial"/>
      <w:sz w:val="28"/>
      <w:szCs w:val="20"/>
      <w:lang w:val="uk-UA" w:eastAsia="uk-UA"/>
    </w:rPr>
  </w:style>
  <w:style w:type="paragraph" w:styleId="a4">
    <w:name w:val="Body Text Indent"/>
    <w:basedOn w:val="a0"/>
    <w:link w:val="11"/>
    <w:rsid w:val="00CA6341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Calibri" w:hAnsi="Arial" w:cs="Arial"/>
      <w:sz w:val="20"/>
      <w:szCs w:val="20"/>
      <w:lang w:val="uk-UA" w:eastAsia="uk-UA"/>
    </w:rPr>
  </w:style>
  <w:style w:type="character" w:customStyle="1" w:styleId="11">
    <w:name w:val="Основной текст с отступом Знак1"/>
    <w:link w:val="a4"/>
    <w:rsid w:val="00CA6341"/>
    <w:rPr>
      <w:rFonts w:ascii="Arial" w:eastAsia="Calibri" w:hAnsi="Arial" w:cs="Arial"/>
      <w:sz w:val="20"/>
      <w:szCs w:val="20"/>
      <w:lang w:val="uk-UA" w:eastAsia="uk-UA"/>
    </w:rPr>
  </w:style>
  <w:style w:type="character" w:customStyle="1" w:styleId="a5">
    <w:name w:val="Основной текст с отступом Знак"/>
    <w:basedOn w:val="a1"/>
    <w:rsid w:val="00CA6341"/>
  </w:style>
  <w:style w:type="paragraph" w:styleId="a6">
    <w:name w:val="Body Text"/>
    <w:aliases w:val="Body Text Char2,Body Text Char1 Char,Body Text Char Char Char,Body Text Char Char1"/>
    <w:basedOn w:val="a0"/>
    <w:link w:val="12"/>
    <w:rsid w:val="00CA6341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Calibri" w:hAnsi="Arial" w:cs="Arial"/>
      <w:color w:val="000000"/>
      <w:spacing w:val="-5"/>
      <w:sz w:val="18"/>
      <w:szCs w:val="20"/>
      <w:lang w:val="uk-UA" w:eastAsia="uk-UA"/>
    </w:rPr>
  </w:style>
  <w:style w:type="character" w:customStyle="1" w:styleId="12">
    <w:name w:val="Основной текст Знак1"/>
    <w:aliases w:val="Body Text Char2 Знак,Body Text Char1 Char Знак,Body Text Char Char Char Знак,Body Text Char Char1 Знак"/>
    <w:link w:val="a6"/>
    <w:rsid w:val="00CA6341"/>
    <w:rPr>
      <w:rFonts w:ascii="Arial" w:eastAsia="Calibri" w:hAnsi="Arial" w:cs="Arial"/>
      <w:color w:val="000000"/>
      <w:spacing w:val="-5"/>
      <w:sz w:val="18"/>
      <w:szCs w:val="20"/>
      <w:shd w:val="clear" w:color="auto" w:fill="FFFFFF"/>
      <w:lang w:val="uk-UA" w:eastAsia="uk-UA"/>
    </w:rPr>
  </w:style>
  <w:style w:type="character" w:customStyle="1" w:styleId="a7">
    <w:name w:val="Основной текст Знак"/>
    <w:basedOn w:val="a1"/>
    <w:rsid w:val="00CA6341"/>
  </w:style>
  <w:style w:type="paragraph" w:styleId="22">
    <w:name w:val="Body Text 2"/>
    <w:basedOn w:val="a0"/>
    <w:link w:val="23"/>
    <w:rsid w:val="00CA6341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jc w:val="both"/>
    </w:pPr>
    <w:rPr>
      <w:rFonts w:ascii="Arial" w:eastAsia="Times New Roman" w:hAnsi="Arial" w:cs="Arial"/>
      <w:color w:val="000000"/>
      <w:spacing w:val="5"/>
      <w:sz w:val="18"/>
      <w:szCs w:val="20"/>
      <w:lang w:val="uk-UA" w:eastAsia="uk-UA"/>
    </w:rPr>
  </w:style>
  <w:style w:type="character" w:customStyle="1" w:styleId="23">
    <w:name w:val="Основной текст 2 Знак"/>
    <w:basedOn w:val="a1"/>
    <w:link w:val="22"/>
    <w:rsid w:val="00CA6341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CA6341"/>
    <w:pPr>
      <w:widowControl w:val="0"/>
      <w:shd w:val="clear" w:color="auto" w:fill="FFFFFF"/>
      <w:autoSpaceDE w:val="0"/>
      <w:autoSpaceDN w:val="0"/>
      <w:adjustRightInd w:val="0"/>
      <w:spacing w:after="0" w:line="197" w:lineRule="exact"/>
      <w:ind w:left="567"/>
    </w:pPr>
    <w:rPr>
      <w:rFonts w:ascii="Arial" w:eastAsia="Times New Roman" w:hAnsi="Arial" w:cs="Arial"/>
      <w:color w:val="000000"/>
      <w:sz w:val="18"/>
      <w:szCs w:val="20"/>
      <w:lang w:val="uk-UA" w:eastAsia="uk-UA"/>
    </w:rPr>
  </w:style>
  <w:style w:type="character" w:customStyle="1" w:styleId="25">
    <w:name w:val="Основной текст с отступом 2 Знак"/>
    <w:basedOn w:val="a1"/>
    <w:link w:val="24"/>
    <w:rsid w:val="00CA6341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8">
    <w:name w:val="Block Text"/>
    <w:basedOn w:val="a0"/>
    <w:rsid w:val="00CA6341"/>
    <w:pPr>
      <w:widowControl w:val="0"/>
      <w:shd w:val="clear" w:color="auto" w:fill="FFFFFF"/>
      <w:autoSpaceDE w:val="0"/>
      <w:autoSpaceDN w:val="0"/>
      <w:adjustRightInd w:val="0"/>
      <w:spacing w:after="0" w:line="197" w:lineRule="exact"/>
      <w:ind w:left="19" w:right="14" w:firstLine="571"/>
    </w:pPr>
    <w:rPr>
      <w:rFonts w:ascii="Arial" w:eastAsia="Times New Roman" w:hAnsi="Arial" w:cs="Arial"/>
      <w:szCs w:val="20"/>
      <w:lang w:val="uk-UA" w:eastAsia="uk-UA"/>
    </w:rPr>
  </w:style>
  <w:style w:type="paragraph" w:styleId="31">
    <w:name w:val="Body Text Indent 3"/>
    <w:basedOn w:val="a0"/>
    <w:link w:val="310"/>
    <w:rsid w:val="00CA6341"/>
    <w:pPr>
      <w:widowControl w:val="0"/>
      <w:shd w:val="clear" w:color="auto" w:fill="FFFFFF"/>
      <w:tabs>
        <w:tab w:val="left" w:pos="653"/>
      </w:tabs>
      <w:autoSpaceDE w:val="0"/>
      <w:autoSpaceDN w:val="0"/>
      <w:adjustRightInd w:val="0"/>
      <w:spacing w:before="187" w:after="0" w:line="202" w:lineRule="exact"/>
      <w:ind w:left="14" w:firstLine="480"/>
    </w:pPr>
    <w:rPr>
      <w:rFonts w:ascii="Arial" w:eastAsia="Calibri" w:hAnsi="Arial" w:cs="Arial"/>
      <w:szCs w:val="20"/>
      <w:lang w:val="uk-UA" w:eastAsia="uk-UA"/>
    </w:rPr>
  </w:style>
  <w:style w:type="character" w:customStyle="1" w:styleId="310">
    <w:name w:val="Основной текст с отступом 3 Знак1"/>
    <w:link w:val="31"/>
    <w:rsid w:val="00CA6341"/>
    <w:rPr>
      <w:rFonts w:ascii="Arial" w:eastAsia="Calibri" w:hAnsi="Arial" w:cs="Arial"/>
      <w:szCs w:val="20"/>
      <w:shd w:val="clear" w:color="auto" w:fill="FFFFFF"/>
      <w:lang w:val="uk-UA" w:eastAsia="uk-UA"/>
    </w:rPr>
  </w:style>
  <w:style w:type="character" w:customStyle="1" w:styleId="32">
    <w:name w:val="Основной текст с отступом 3 Знак"/>
    <w:basedOn w:val="a1"/>
    <w:uiPriority w:val="99"/>
    <w:rsid w:val="00CA6341"/>
    <w:rPr>
      <w:sz w:val="16"/>
      <w:szCs w:val="16"/>
    </w:rPr>
  </w:style>
  <w:style w:type="paragraph" w:styleId="33">
    <w:name w:val="Body Text 3"/>
    <w:basedOn w:val="a0"/>
    <w:link w:val="34"/>
    <w:rsid w:val="00CA6341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after="0" w:line="197" w:lineRule="exact"/>
    </w:pPr>
    <w:rPr>
      <w:rFonts w:ascii="Arial" w:eastAsia="Times New Roman" w:hAnsi="Arial" w:cs="Arial"/>
      <w:szCs w:val="20"/>
      <w:lang w:val="uk-UA" w:eastAsia="uk-UA"/>
    </w:rPr>
  </w:style>
  <w:style w:type="character" w:customStyle="1" w:styleId="34">
    <w:name w:val="Основной текст 3 Знак"/>
    <w:basedOn w:val="a1"/>
    <w:link w:val="33"/>
    <w:rsid w:val="00CA6341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styleId="a9">
    <w:name w:val="footer"/>
    <w:basedOn w:val="a0"/>
    <w:link w:val="aa"/>
    <w:rsid w:val="00CA63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customStyle="1" w:styleId="aa">
    <w:name w:val="Нижний колонтитул Знак"/>
    <w:basedOn w:val="a1"/>
    <w:link w:val="a9"/>
    <w:rsid w:val="00CA6341"/>
    <w:rPr>
      <w:rFonts w:ascii="Arial" w:eastAsia="Times New Roman" w:hAnsi="Arial" w:cs="Arial"/>
      <w:sz w:val="20"/>
      <w:szCs w:val="20"/>
      <w:lang w:val="uk-UA" w:eastAsia="uk-UA"/>
    </w:rPr>
  </w:style>
  <w:style w:type="character" w:styleId="ab">
    <w:name w:val="page number"/>
    <w:basedOn w:val="a1"/>
    <w:rsid w:val="00CA6341"/>
  </w:style>
  <w:style w:type="paragraph" w:styleId="ac">
    <w:name w:val="header"/>
    <w:basedOn w:val="a0"/>
    <w:link w:val="ad"/>
    <w:rsid w:val="00CA63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customStyle="1" w:styleId="ad">
    <w:name w:val="Верхний колонтитул Знак"/>
    <w:basedOn w:val="a1"/>
    <w:link w:val="ac"/>
    <w:rsid w:val="00CA6341"/>
    <w:rPr>
      <w:rFonts w:ascii="Arial" w:eastAsia="Times New Roman" w:hAnsi="Arial" w:cs="Arial"/>
      <w:sz w:val="20"/>
      <w:szCs w:val="20"/>
      <w:lang w:val="uk-UA" w:eastAsia="uk-UA"/>
    </w:rPr>
  </w:style>
  <w:style w:type="character" w:customStyle="1" w:styleId="ae">
    <w:name w:val="Текст выноски Знак"/>
    <w:basedOn w:val="a1"/>
    <w:link w:val="af"/>
    <w:semiHidden/>
    <w:rsid w:val="00CA634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f">
    <w:name w:val="Balloon Text"/>
    <w:basedOn w:val="a0"/>
    <w:link w:val="ae"/>
    <w:semiHidden/>
    <w:rsid w:val="00CA63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af0">
    <w:name w:val="Знак Знак Знак Знак Знак Знак Знак Знак Знак Знак Знак Знак"/>
    <w:basedOn w:val="a0"/>
    <w:rsid w:val="00CA6341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styleId="af1">
    <w:name w:val="Emphasis"/>
    <w:qFormat/>
    <w:rsid w:val="00CA6341"/>
    <w:rPr>
      <w:i/>
      <w:iCs/>
    </w:rPr>
  </w:style>
  <w:style w:type="paragraph" w:styleId="HTML">
    <w:name w:val="HTML Preformatted"/>
    <w:basedOn w:val="a0"/>
    <w:link w:val="HTML0"/>
    <w:rsid w:val="00CA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A63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0"/>
    <w:uiPriority w:val="99"/>
    <w:rsid w:val="00CA6341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3">
    <w:name w:val="Note Heading"/>
    <w:basedOn w:val="a0"/>
    <w:next w:val="a0"/>
    <w:link w:val="af4"/>
    <w:rsid w:val="00CA6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Заголовок записки Знак"/>
    <w:basedOn w:val="a1"/>
    <w:link w:val="af3"/>
    <w:rsid w:val="00CA6341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autoRedefine/>
    <w:rsid w:val="00CA6341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after="0" w:line="260" w:lineRule="auto"/>
      <w:ind w:left="0" w:firstLine="432"/>
      <w:jc w:val="both"/>
    </w:pPr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customStyle="1" w:styleId="af5">
    <w:name w:val="Должность в подписи"/>
    <w:basedOn w:val="af6"/>
    <w:next w:val="a0"/>
    <w:rsid w:val="00CA6341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f6">
    <w:name w:val="Signature"/>
    <w:basedOn w:val="a0"/>
    <w:link w:val="af7"/>
    <w:rsid w:val="00CA6341"/>
    <w:pPr>
      <w:widowControl w:val="0"/>
      <w:autoSpaceDE w:val="0"/>
      <w:autoSpaceDN w:val="0"/>
      <w:adjustRightInd w:val="0"/>
      <w:spacing w:after="0" w:line="260" w:lineRule="auto"/>
      <w:ind w:left="4252" w:hanging="800"/>
      <w:jc w:val="both"/>
    </w:pPr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customStyle="1" w:styleId="af7">
    <w:name w:val="Подпись Знак"/>
    <w:basedOn w:val="a1"/>
    <w:link w:val="af6"/>
    <w:rsid w:val="00CA6341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f8">
    <w:name w:val="Title"/>
    <w:basedOn w:val="a0"/>
    <w:link w:val="af9"/>
    <w:qFormat/>
    <w:rsid w:val="00CA63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9">
    <w:name w:val="Название Знак"/>
    <w:basedOn w:val="a1"/>
    <w:link w:val="af8"/>
    <w:rsid w:val="00CA63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a">
    <w:name w:val="List Paragraph"/>
    <w:basedOn w:val="a0"/>
    <w:uiPriority w:val="34"/>
    <w:qFormat/>
    <w:rsid w:val="00CA63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uk-UA" w:eastAsia="uk-UA"/>
    </w:rPr>
  </w:style>
  <w:style w:type="paragraph" w:customStyle="1" w:styleId="ms-rteelement-p">
    <w:name w:val="ms-rteelement-p"/>
    <w:basedOn w:val="a0"/>
    <w:rsid w:val="00CA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нак Знак3"/>
    <w:rsid w:val="00CA63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1"/>
    <w:rsid w:val="00CA6341"/>
    <w:rPr>
      <w:rFonts w:ascii="Times New Roman" w:hAnsi="Times New Roman" w:cs="Times New Roman" w:hint="default"/>
    </w:rPr>
  </w:style>
  <w:style w:type="character" w:customStyle="1" w:styleId="rvts23">
    <w:name w:val="rvts23"/>
    <w:basedOn w:val="a1"/>
    <w:rsid w:val="00CA6341"/>
  </w:style>
  <w:style w:type="paragraph" w:customStyle="1" w:styleId="rvps2">
    <w:name w:val="rvps2"/>
    <w:basedOn w:val="a0"/>
    <w:rsid w:val="00CA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D39F-72E0-4997-8F66-1B5DBCEC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25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5</cp:revision>
  <dcterms:created xsi:type="dcterms:W3CDTF">2021-01-18T18:28:00Z</dcterms:created>
  <dcterms:modified xsi:type="dcterms:W3CDTF">2021-01-26T07:35:00Z</dcterms:modified>
</cp:coreProperties>
</file>