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53C26" w14:textId="0B694C3F" w:rsidR="00EC5233" w:rsidRPr="00EC5233" w:rsidRDefault="00EC5233" w:rsidP="00EC5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</w:p>
    <w:p w14:paraId="237C4F9E" w14:textId="77777777" w:rsidR="00EF1CD1" w:rsidRPr="0087061A" w:rsidRDefault="00EF1CD1" w:rsidP="00EF1C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7061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CB6C9" wp14:editId="51AD3175">
            <wp:extent cx="685800" cy="923925"/>
            <wp:effectExtent l="0" t="0" r="0" b="9525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1C30" w14:textId="77777777" w:rsidR="00EF1CD1" w:rsidRPr="00B92BB7" w:rsidRDefault="00EF1CD1" w:rsidP="00EF1C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B92B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УКРАЇНА</w:t>
      </w:r>
    </w:p>
    <w:p w14:paraId="72D15BB0" w14:textId="77777777" w:rsidR="00EF1CD1" w:rsidRPr="00B92BB7" w:rsidRDefault="00EF1CD1" w:rsidP="00EF1C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B92B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БОРОДІНСЬКА СЕЛИЩНА РАДА</w:t>
      </w:r>
    </w:p>
    <w:p w14:paraId="64B771AF" w14:textId="77777777" w:rsidR="00EF1CD1" w:rsidRPr="00B92BB7" w:rsidRDefault="00EF1CD1" w:rsidP="00EF1C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B92B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ТАРУТИНСЬКОГО РАЙОНУ ОДЕСЬКОЇ ОБЛАСТІ</w:t>
      </w:r>
    </w:p>
    <w:p w14:paraId="6C91456D" w14:textId="77777777" w:rsidR="00EF1CD1" w:rsidRPr="00B92BB7" w:rsidRDefault="00EF1CD1" w:rsidP="00EF1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21544C" w14:textId="1FBE20E1" w:rsidR="00EF1CD1" w:rsidRPr="00B92BB7" w:rsidRDefault="00EF1CD1" w:rsidP="00EF1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2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gramStart"/>
      <w:r w:rsidRPr="00B92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РІШЕННЯ </w:t>
      </w:r>
      <w:r w:rsidR="000E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№</w:t>
      </w:r>
      <w:proofErr w:type="gramEnd"/>
      <w:r w:rsidR="000E5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FA22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81</w:t>
      </w:r>
      <w:r w:rsidR="000E5AEF" w:rsidRPr="000E5A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-VIII</w:t>
      </w:r>
    </w:p>
    <w:p w14:paraId="45AB9817" w14:textId="77777777" w:rsidR="00EF1CD1" w:rsidRPr="00B92BB7" w:rsidRDefault="00EF1CD1" w:rsidP="00EF1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2F671D6" w14:textId="7C916A8D" w:rsidR="00EF1CD1" w:rsidRPr="00607AF7" w:rsidRDefault="000E5AEF" w:rsidP="00CB1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11.02.2021 року                                                                                     </w:t>
      </w:r>
      <w:r w:rsidR="00EF1CD1" w:rsidRPr="0087061A">
        <w:rPr>
          <w:rFonts w:ascii="Times New Roman" w:eastAsia="Times New Roman" w:hAnsi="Times New Roman" w:cs="Times New Roman"/>
          <w:sz w:val="24"/>
          <w:szCs w:val="24"/>
          <w:lang w:val="uk-UA"/>
        </w:rPr>
        <w:t>смт Бородіно</w:t>
      </w:r>
      <w:r w:rsidR="00CB16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14:paraId="237A0386" w14:textId="77777777" w:rsidR="00EF1CD1" w:rsidRPr="0087061A" w:rsidRDefault="00EF1CD1" w:rsidP="00EF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D61130E" w14:textId="6F1B08DA" w:rsidR="00EC5233" w:rsidRPr="00EC5233" w:rsidRDefault="00EC5233" w:rsidP="00EC5233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</w:p>
    <w:p w14:paraId="6024A94B" w14:textId="77777777" w:rsidR="00EC5233" w:rsidRPr="00EC5233" w:rsidRDefault="00EC5233" w:rsidP="00EC523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</w:t>
      </w:r>
      <w:proofErr w:type="spellStart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затвердження</w:t>
      </w:r>
      <w:proofErr w:type="spellEnd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Концепції</w:t>
      </w:r>
      <w:proofErr w:type="spellEnd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створення</w:t>
      </w:r>
      <w:proofErr w:type="spellEnd"/>
    </w:p>
    <w:p w14:paraId="583AFC4B" w14:textId="77777777" w:rsidR="00ED367E" w:rsidRDefault="00EC5233" w:rsidP="00ED367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Центру </w:t>
      </w:r>
      <w:proofErr w:type="spellStart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адміністративних</w:t>
      </w:r>
      <w:proofErr w:type="spellEnd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</w:t>
      </w:r>
      <w:proofErr w:type="spellEnd"/>
    </w:p>
    <w:p w14:paraId="5F0651A2" w14:textId="4CE3BF9E" w:rsidR="00EC5233" w:rsidRPr="00EC5233" w:rsidRDefault="00EC5233" w:rsidP="00ED367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</w:t>
      </w:r>
      <w:proofErr w:type="gramStart"/>
      <w:r w:rsidR="00ED367E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Бородінської </w:t>
      </w:r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D367E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</w:t>
      </w:r>
      <w:proofErr w:type="gramEnd"/>
      <w:r w:rsidR="00ED367E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раді</w:t>
      </w:r>
    </w:p>
    <w:p w14:paraId="107695B6" w14:textId="77777777" w:rsidR="00EC5233" w:rsidRPr="00EC5233" w:rsidRDefault="00EC5233" w:rsidP="00EC52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523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14:paraId="38AB95CE" w14:textId="77777777" w:rsidR="00F27561" w:rsidRDefault="00EC5233" w:rsidP="003749B6">
      <w:pPr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Законів</w:t>
      </w:r>
      <w:proofErr w:type="spellEnd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«Про </w:t>
      </w:r>
      <w:proofErr w:type="spell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місцеве</w:t>
      </w:r>
      <w:proofErr w:type="spellEnd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самоврядування</w:t>
      </w:r>
      <w:proofErr w:type="spellEnd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    </w:t>
      </w:r>
      <w:proofErr w:type="spell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Україні</w:t>
      </w:r>
      <w:proofErr w:type="spellEnd"/>
      <w:proofErr w:type="gram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  «</w:t>
      </w:r>
      <w:proofErr w:type="gramEnd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</w:t>
      </w:r>
      <w:proofErr w:type="spell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адміністративні</w:t>
      </w:r>
      <w:proofErr w:type="spellEnd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3749B6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, </w:t>
      </w:r>
      <w:r w:rsidR="005175CB" w:rsidRPr="005175CB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3749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20.02.2013 № 118  «Про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Примірного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про центр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5CB" w:rsidRPr="005175C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5175CB" w:rsidRPr="005175CB">
        <w:rPr>
          <w:rFonts w:ascii="Times New Roman" w:hAnsi="Times New Roman" w:cs="Times New Roman"/>
          <w:sz w:val="28"/>
          <w:szCs w:val="28"/>
        </w:rPr>
        <w:t>)</w:t>
      </w:r>
      <w:r w:rsidR="003749B6">
        <w:rPr>
          <w:rFonts w:ascii="Times New Roman" w:hAnsi="Times New Roman" w:cs="Times New Roman"/>
          <w:sz w:val="28"/>
          <w:szCs w:val="28"/>
          <w:lang w:val="uk-UA"/>
        </w:rPr>
        <w:t xml:space="preserve">  та з</w:t>
      </w:r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метою створення та розвитку Центру надання адміністративних послуг у </w:t>
      </w:r>
      <w:r w:rsidR="003749B6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Бородінської </w:t>
      </w:r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об’єднаній громаді в умовах децентралізації, а також створення належних умов для споживачів послуг, </w:t>
      </w:r>
      <w:r w:rsidR="00AC6C8E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Бородінська  селищна рада</w:t>
      </w:r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305A2323" w14:textId="299EC6B8" w:rsidR="00EC5233" w:rsidRPr="00EC5233" w:rsidRDefault="00EC5233" w:rsidP="003749B6">
      <w:pPr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C5233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ВИРІШИЛА</w:t>
      </w:r>
      <w:r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14:paraId="0D02BC27" w14:textId="77777777" w:rsidR="00EC5233" w:rsidRPr="00EC5233" w:rsidRDefault="00EC5233" w:rsidP="00EC52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C523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14:paraId="2FFA37B0" w14:textId="5C19C12E" w:rsidR="00EC5233" w:rsidRPr="001715D5" w:rsidRDefault="00EC5233" w:rsidP="00AC6C8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AC6C8E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Затвердити Концепцію створення та розвитку Центру надання адміністративних послуг у </w:t>
      </w:r>
      <w:r w:rsidR="00AC6C8E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Бородінської </w:t>
      </w:r>
      <w:r w:rsidRPr="00AC6C8E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об’єднані територіальній громаді на 202</w:t>
      </w:r>
      <w:r w:rsidR="001715D5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1 -2022</w:t>
      </w:r>
      <w:r w:rsidRPr="00AC6C8E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роки (додається).</w:t>
      </w:r>
    </w:p>
    <w:p w14:paraId="5A70B2B2" w14:textId="0DA33624" w:rsidR="00EC5233" w:rsidRPr="001715D5" w:rsidRDefault="00EC5233" w:rsidP="001715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1715D5">
        <w:rPr>
          <w:rFonts w:ascii="Times New Roman" w:eastAsia="Times New Roman" w:hAnsi="Times New Roman" w:cs="Times New Roman"/>
          <w:bCs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Контроль за виконанням цього рішення </w:t>
      </w:r>
      <w:r w:rsidR="00FA2283">
        <w:rPr>
          <w:rFonts w:ascii="Times New Roman" w:eastAsia="Times New Roman" w:hAnsi="Times New Roman" w:cs="Times New Roman"/>
          <w:bCs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покласти на постійну </w:t>
      </w:r>
      <w:r w:rsidRPr="001715D5">
        <w:rPr>
          <w:rFonts w:ascii="Times New Roman" w:eastAsia="Times New Roman" w:hAnsi="Times New Roman" w:cs="Times New Roman"/>
          <w:bCs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комісію </w:t>
      </w:r>
      <w:r w:rsidRPr="001715D5">
        <w:rPr>
          <w:rFonts w:ascii="Times New Roman" w:eastAsia="Times New Roman" w:hAnsi="Times New Roman" w:cs="Times New Roman"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питань фінансів, бюджету</w:t>
      </w:r>
      <w:r w:rsidR="00CB1692">
        <w:rPr>
          <w:rFonts w:ascii="Times New Roman" w:eastAsia="Times New Roman" w:hAnsi="Times New Roman" w:cs="Times New Roman"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</w:t>
      </w:r>
      <w:r w:rsidRPr="001715D5">
        <w:rPr>
          <w:rFonts w:ascii="Times New Roman" w:eastAsia="Times New Roman" w:hAnsi="Times New Roman" w:cs="Times New Roman"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соціально-економічного розвитку</w:t>
      </w:r>
      <w:r w:rsidR="00CB1692">
        <w:rPr>
          <w:rFonts w:ascii="Times New Roman" w:eastAsia="Times New Roman" w:hAnsi="Times New Roman" w:cs="Times New Roman"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</w:t>
      </w:r>
    </w:p>
    <w:p w14:paraId="3084451C" w14:textId="77777777" w:rsidR="00EC5233" w:rsidRPr="00EC5233" w:rsidRDefault="00EC5233" w:rsidP="00EC5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C523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14:paraId="5D5C12F8" w14:textId="77777777" w:rsidR="00EC5233" w:rsidRPr="00EC5233" w:rsidRDefault="00EC5233" w:rsidP="00EC5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C523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14:paraId="30509F18" w14:textId="77777777" w:rsidR="00EC5233" w:rsidRPr="00EC5233" w:rsidRDefault="00EC5233" w:rsidP="00EC5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C523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14:paraId="1FF41DE2" w14:textId="77777777" w:rsidR="00EC5233" w:rsidRPr="00EC5233" w:rsidRDefault="00EC5233" w:rsidP="00EC5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C523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14:paraId="732B297C" w14:textId="75A94150" w:rsidR="00EC5233" w:rsidRPr="00EC5233" w:rsidRDefault="00FF30F7" w:rsidP="00EC5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FF30F7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Селищний голова  </w:t>
      </w:r>
      <w:r w:rsidR="00EC5233" w:rsidRPr="00EC523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                                      </w:t>
      </w:r>
      <w:r w:rsidR="00FA2283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Іван КЮССЕ</w:t>
      </w:r>
    </w:p>
    <w:p w14:paraId="30DF5835" w14:textId="77777777" w:rsidR="00A7374F" w:rsidRDefault="00A7374F">
      <w:pPr>
        <w:rPr>
          <w:rFonts w:ascii="Times New Roman" w:hAnsi="Times New Roman" w:cs="Times New Roman"/>
          <w:sz w:val="28"/>
          <w:szCs w:val="28"/>
        </w:rPr>
      </w:pPr>
    </w:p>
    <w:p w14:paraId="7D55D15C" w14:textId="77777777" w:rsidR="00A03E74" w:rsidRDefault="00A03E74">
      <w:pPr>
        <w:rPr>
          <w:rFonts w:ascii="Times New Roman" w:hAnsi="Times New Roman" w:cs="Times New Roman"/>
          <w:sz w:val="28"/>
          <w:szCs w:val="28"/>
        </w:rPr>
      </w:pPr>
    </w:p>
    <w:p w14:paraId="604DA610" w14:textId="77777777" w:rsidR="00A03E74" w:rsidRDefault="00A03E74">
      <w:pPr>
        <w:rPr>
          <w:rFonts w:ascii="Times New Roman" w:hAnsi="Times New Roman" w:cs="Times New Roman"/>
          <w:sz w:val="28"/>
          <w:szCs w:val="28"/>
        </w:rPr>
      </w:pPr>
    </w:p>
    <w:p w14:paraId="1DE8A688" w14:textId="77777777" w:rsidR="00A03E74" w:rsidRDefault="00A03E74">
      <w:pPr>
        <w:rPr>
          <w:rFonts w:ascii="Times New Roman" w:hAnsi="Times New Roman" w:cs="Times New Roman"/>
          <w:sz w:val="28"/>
          <w:szCs w:val="28"/>
        </w:rPr>
      </w:pPr>
    </w:p>
    <w:p w14:paraId="77EA63B1" w14:textId="77777777" w:rsidR="00A03E74" w:rsidRPr="004B2BD5" w:rsidRDefault="00A03E74" w:rsidP="00A03E7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bookmarkStart w:id="0" w:name="_Toc520460229"/>
      <w:r w:rsidRPr="004B2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lastRenderedPageBreak/>
        <w:t xml:space="preserve">Концепції створення Центру надання адміністративних послуг </w:t>
      </w:r>
      <w:r w:rsidRPr="004B2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br/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Бородінської </w:t>
      </w:r>
      <w:r w:rsidRPr="004B2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об’єднаній територіальній громаді</w:t>
      </w:r>
      <w:bookmarkEnd w:id="0"/>
    </w:p>
    <w:p w14:paraId="75FF7B2E" w14:textId="77777777" w:rsidR="00A03E74" w:rsidRPr="004B2BD5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65257F15" w14:textId="77777777" w:rsidR="00A03E74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Мета Концепції</w:t>
      </w:r>
    </w:p>
    <w:p w14:paraId="6A892DB4" w14:textId="77777777" w:rsidR="00A03E74" w:rsidRPr="004B2BD5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2BAB53DE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Метою розробки, затвердження та реалізації цієї Концепції є створення рівних умов для надання мешканцям громади, незалежно від статті, віку та фізичних можливостей необхідних адміністративних послуг в зручний та доступний способи.</w:t>
      </w:r>
    </w:p>
    <w:p w14:paraId="66BD40B1" w14:textId="77777777" w:rsidR="00A03E74" w:rsidRPr="004B2BD5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0567A65D" w14:textId="77777777" w:rsidR="00A03E74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Завдання Концепції</w:t>
      </w:r>
    </w:p>
    <w:p w14:paraId="7465EC03" w14:textId="77777777" w:rsidR="00A03E74" w:rsidRPr="004B2BD5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51C3212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Завданнями цієї Концепції є:</w:t>
      </w:r>
    </w:p>
    <w:p w14:paraId="25B97D23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8025BB7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забезпечення отримання громадою повноважень з надання усіх адміністративних послуг, необхідних громадянам та суб’єктам господарювання, які делеговані або можуть бути делеговані державою органам місцевого самоврядування відповідного рівня;</w:t>
      </w:r>
    </w:p>
    <w:p w14:paraId="6D855791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створення центру надання адміністративних послуг (далі – ЦНАП), з комфортними умовами для обслуговування суб’єктів звернення та належними умовами для роботи посадових осіб органу місцевого самоврядування;</w:t>
      </w:r>
    </w:p>
    <w:p w14:paraId="2F7D3895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забезпечення доступних та </w:t>
      </w:r>
      <w:proofErr w:type="spellStart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безбар’єрних</w:t>
      </w:r>
      <w:proofErr w:type="spellEnd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умов для отримання адміністративних послуг усіма мешканцями об’єднаної територіальної громади (далі – ОТГ), в тому числі завдяки відкриттю територіальних підрозділів ЦНАП в адміністративних центрах колишніх сільських та селищних рад, інших найбільших населених пунктах, створення віддалених місць для роботи адміністраторів, залучення </w:t>
      </w:r>
      <w:proofErr w:type="spellStart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старост</w:t>
      </w:r>
      <w:proofErr w:type="spellEnd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 надання адміністративних послуг, впровадження інформаційних технологій.</w:t>
      </w:r>
    </w:p>
    <w:p w14:paraId="71F07CF9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забезпечення гендерної рівності та особливих потреб громадян на всіх етапах створення та функціонування ЦНАП. </w:t>
      </w:r>
    </w:p>
    <w:p w14:paraId="31F75C49" w14:textId="77777777" w:rsidR="00A03E74" w:rsidRPr="004B2BD5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99C31DC" w14:textId="77777777" w:rsidR="00A03E74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Поточний (вихідний) стан </w:t>
      </w:r>
    </w:p>
    <w:p w14:paraId="7831C0DA" w14:textId="77777777" w:rsidR="00A03E74" w:rsidRPr="004B2BD5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27C055D2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Реалізація цієї Концепції спрямована на вирішення наступних проблем</w:t>
      </w:r>
      <w:r w:rsidRPr="004B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: </w:t>
      </w:r>
    </w:p>
    <w:p w14:paraId="18A91F0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2B18ED52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отримання мешканцями громади більшості необхідних адміністративних послуг здійснюється переважно в районному центрі в різних органах виконавчої влади;</w:t>
      </w:r>
    </w:p>
    <w:p w14:paraId="76553415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необлаштовані умови для обслуговування суб’єктів звернення в селищній раді, в тому числі кабінетна система прийому, відсутність умов для очікування, в </w:t>
      </w:r>
      <w:proofErr w:type="spellStart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т.ч</w:t>
      </w:r>
      <w:proofErr w:type="spellEnd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для окремих груп громадян, як-от відвідувачів з дітьми тощо;</w:t>
      </w:r>
    </w:p>
    <w:p w14:paraId="3DBC0CE7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відсутність належних умов доступу до адміністративних послуг в ОТГ для осіб з інвалідністю, з додатковими потребами та інших соціальних груп;</w:t>
      </w:r>
    </w:p>
    <w:p w14:paraId="7247DCBF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- погане матеріально-технічне забезпечення виконавчих органів місцевої ради, в тому числі брак відповідного технічного обладнання, меблів, програмного забезпечення для організації ефективної роботи;</w:t>
      </w:r>
    </w:p>
    <w:p w14:paraId="49EC7BA1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обмежені прийомні години в окремих спеціалістів та інших посадових осіб виконавчих органів місцевої ради;</w:t>
      </w:r>
    </w:p>
    <w:p w14:paraId="104FAD3A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нові виклики (ризики) погіршення доступності адміністративних послуг, зокрема у сфері реєстрації актів цивільного стану, реєстрації місця проживання) у зв’язку з утворенням ОТГ;</w:t>
      </w:r>
    </w:p>
    <w:p w14:paraId="5BB54676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складність залучення персоналу, що відповідає вимогам встановленим законодавством,  для надання окремих адміністративних послуг, зокрема, у сфері  державної реєстрації прав на нерухоме майно, видачі відомостей з Державного земельного кадастру; </w:t>
      </w:r>
    </w:p>
    <w:p w14:paraId="545D0624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недостатність знань та навичок в окремих спеціалістів виконавчих органів місцевої ради, які надають адміністративні послуги;</w:t>
      </w:r>
    </w:p>
    <w:p w14:paraId="0FC174CA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відсутність умов для оплати адміністративних послуг в приміщенні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селищної ради.</w:t>
      </w:r>
    </w:p>
    <w:p w14:paraId="0BAA1778" w14:textId="77777777" w:rsidR="00A03E74" w:rsidRPr="004B2BD5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752FEE8" w14:textId="77777777" w:rsidR="00A03E74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Заплановані заходи (шляхи вирішення наявних проблем)</w:t>
      </w:r>
    </w:p>
    <w:p w14:paraId="6609D97A" w14:textId="77777777" w:rsidR="00A03E74" w:rsidRPr="004B2BD5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22E91D4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Для досягнення мети цієї Концепції та усунення наявних проблем</w:t>
      </w:r>
      <w:r w:rsidRPr="004B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будуть вживатися наступні заходи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14:paraId="6415CFB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отримання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селищною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радою повноважень у сфері реєстрації прав на нерухоме майно, реєстрації юридичних осіб та фізичних осіб – підприємців, надання витягів з Державного земельного кадастру;</w:t>
      </w:r>
    </w:p>
    <w:p w14:paraId="33CF6B6A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утворення  Центру надання адміністративних послуг як виконавчого органу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селищної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ради;</w:t>
      </w:r>
    </w:p>
    <w:p w14:paraId="37588E9C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забезпечення ЦНАП належним приміщенням (в тому числі з комфортною зоною обслуговування та очікування, туалетною кімнатою з обладнаним столиком для </w:t>
      </w:r>
      <w:proofErr w:type="spellStart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пеленання</w:t>
      </w:r>
      <w:proofErr w:type="spellEnd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дитячим куточком та місцем для візків), технікою, меблями, програмним забезпеченням;</w:t>
      </w:r>
    </w:p>
    <w:p w14:paraId="5B63CCF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забезпечення </w:t>
      </w:r>
      <w:proofErr w:type="spellStart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безбар’єрного</w:t>
      </w:r>
      <w:proofErr w:type="spellEnd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доступу до приміщення ЦНАП для осіб з інвалідністю та батьків з візочком; </w:t>
      </w:r>
    </w:p>
    <w:p w14:paraId="1EBBE958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забезпечення ЦНАП достатньою кількістю персоналу, здійснення регулярних заходів з навчання та підвищення його кваліфікації, зокрема щодо політики недискримінації;</w:t>
      </w:r>
    </w:p>
    <w:p w14:paraId="29F389DF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організація надання через ЦНАП усіх адміністративних послуг, які належать до власних та делегованих повноважень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селищної 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ради, в тому числі з реєстрації актів цивільного стану, реєстрації місця проживання, а також адміністративних послуг зазначених у абзаці першому цього підрозділу Концепції</w:t>
      </w:r>
      <w:r w:rsidRPr="004B2B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>;</w:t>
      </w:r>
    </w:p>
    <w:p w14:paraId="7EFCECA0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вжиття заходів для надання через ЦНАП адміністративних послуг з видачі паспорта громадянина України та паспорта громадянина України для виїзду за кордон, а також надання адміністративних послуг у сфері соціального захисту населення, пенсійного забезпечення; надання послуг підприємств-монополістів у сферах </w:t>
      </w:r>
      <w:proofErr w:type="spellStart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енерго</w:t>
      </w:r>
      <w:proofErr w:type="spellEnd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-; водо-; тепло- забезпечення;</w:t>
      </w:r>
    </w:p>
    <w:p w14:paraId="480EB44E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- відкриття територіальних підрозділів ЦНАП в адміністративних центрах колишніх сільських та селищних рад, за можливості – в інших найбільших населених пунктах, створення віддалених місць для роботи адміністраторів, залучення до надання окремих адміністративних послуг </w:t>
      </w:r>
      <w:proofErr w:type="spellStart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старост</w:t>
      </w:r>
      <w:proofErr w:type="spellEnd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; </w:t>
      </w:r>
    </w:p>
    <w:p w14:paraId="7727E9A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обслуговування в обґрунтованих випадках суб’єктів звернення з особливими потребами з виїздом до їх населених пунктів та/або помешкання;</w:t>
      </w:r>
    </w:p>
    <w:p w14:paraId="513C8DC7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організація та використання мобільного (пересувного) офісу для надання адміністративних послуг;</w:t>
      </w:r>
    </w:p>
    <w:p w14:paraId="1B17F5EB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розширення переліку електронних послуг;</w:t>
      </w:r>
    </w:p>
    <w:p w14:paraId="0141FE0F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створення належної системи інформування громади про адміністративні послуги та роботу ЦНАП, в тому числі через веб-сторінку ОТГ/ЦНАП, сторінку ОТГ у соціальних мережах;</w:t>
      </w:r>
    </w:p>
    <w:p w14:paraId="5BBC3614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відкриття банківського відділення у приміщенні ЦНАП.</w:t>
      </w:r>
    </w:p>
    <w:p w14:paraId="5E7372AF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E038B94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 межах виконання зазначених заходів будуть використовуватися також механізми:</w:t>
      </w:r>
    </w:p>
    <w:p w14:paraId="390E64B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83B746F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співробітництва територіальних громад (спільного надання окремих адміністративних послуг; придбання обладнання, створення «мобільного ЦНАП» тощо);</w:t>
      </w:r>
    </w:p>
    <w:p w14:paraId="1BEEB4FF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 узгоджених рішень з органами виконавчої влади для надання адміністративних послуг у сфері соціального захисту населення; реєстрації земельних ділянок; пенсійного забезпечення, фіскальної служби; організація оперативного документообігу з такими органами.</w:t>
      </w:r>
    </w:p>
    <w:p w14:paraId="2FA2590E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23F2D54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Крім того, для реалізації Концепції будуть вжиті такі організаційні заходи:</w:t>
      </w:r>
    </w:p>
    <w:p w14:paraId="4CBAAEAE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0CC27C6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утворено постійну робочу групу з питань надання адміністративних послуг та утворення ЦНАП, в тому числі із залученням представників різних груп громадськості з метою врахування гендерного підходу та особливих потреб окремих категорій населення;</w:t>
      </w:r>
    </w:p>
    <w:p w14:paraId="231EAA41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вивчення кращих практик організації надання адміністративних послуг в Україні;</w:t>
      </w:r>
    </w:p>
    <w:p w14:paraId="6A76327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громаді, в тому числі при формуванні Переліку послуг для ЦНАП, при плануванні облаштування ЦНАП, при впровадженні суттєвих новацій у роботі ЦНАП, при щорічному оцінюванні персоналу ЦНАП;</w:t>
      </w:r>
    </w:p>
    <w:p w14:paraId="537BCC10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щорічне звітування перед місцевою радою та громадою щодо реалізації цієї Концепції та виконання щорічних планів (програми) її впровадження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4F5055CE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- питання забезпечення гендерної рівності має стати наскрізним питанням функціонування ЦНАП. </w:t>
      </w:r>
    </w:p>
    <w:p w14:paraId="57F8B16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середовища та енергозбереження. </w:t>
      </w:r>
    </w:p>
    <w:p w14:paraId="7ABB8A85" w14:textId="77777777" w:rsidR="00A03E74" w:rsidRPr="004B2BD5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7BE0E0D" w14:textId="77777777" w:rsidR="00A03E74" w:rsidRDefault="00A03E74" w:rsidP="00A03E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Витрати та джерела їх покриття</w:t>
      </w:r>
    </w:p>
    <w:p w14:paraId="212DB468" w14:textId="77777777" w:rsidR="00A03E74" w:rsidRPr="004B2BD5" w:rsidRDefault="00A03E74" w:rsidP="00A03E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716ECFA5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Для покриття витрат на створення ЦНАП будуть використані надходження до бюджету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селищної ради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 вигляді плати за надання адміністративних послуг (адміністративний збір); інші кошти місцевого бюджету; державна субвенція на розвиток інфраструктури ОТГ; кошти проектів міжнародної технічної допомоги та інші дозволені законодавством джерела. </w:t>
      </w:r>
    </w:p>
    <w:p w14:paraId="4320F34A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Оцінка фінансових ресурсів, необхідних для реалізації Концепції (з обґрунтуванням їх обсягів), буде проведена після розробки відповідного Плану заходів та кошторису, та обговорення з мешканцями громади.</w:t>
      </w:r>
    </w:p>
    <w:p w14:paraId="62222B95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3EEDAD4" w14:textId="77777777" w:rsidR="00A03E74" w:rsidRPr="004B2BD5" w:rsidRDefault="00A03E74" w:rsidP="00A03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D4DDFD8" w14:textId="77777777" w:rsidR="00A03E74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Очікувані результати </w:t>
      </w:r>
    </w:p>
    <w:p w14:paraId="7F91195D" w14:textId="77777777" w:rsidR="00A03E74" w:rsidRPr="004B2BD5" w:rsidRDefault="00A03E74" w:rsidP="00A0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7C86F1F4" w14:textId="77777777" w:rsidR="00A03E74" w:rsidRDefault="00A03E74" w:rsidP="00A03E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 реалізації Концепції очікуються наступні результати:</w:t>
      </w:r>
    </w:p>
    <w:p w14:paraId="5FFD1081" w14:textId="77777777" w:rsidR="00A03E74" w:rsidRPr="004B2BD5" w:rsidRDefault="00A03E74" w:rsidP="00A03E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A6F103D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для громадян та суб’єктів господарювання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отримання усіх (більшості) необхідних адміністративних послуг в громаді, в комфортних, доступних та </w:t>
      </w:r>
      <w:proofErr w:type="spellStart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безбар’єрних</w:t>
      </w:r>
      <w:proofErr w:type="spellEnd"/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умовах у належному ЦНАП, в тому числі на його віддалених робочих місцях;</w:t>
      </w:r>
    </w:p>
    <w:p w14:paraId="61CEB2CC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1AE369E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для працівників ЦНАП та інших посадових осіб долучених до надання адміністративних послуг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належні умови роботи, регулярні заходи з підвищення кваліфікації;</w:t>
      </w:r>
    </w:p>
    <w:p w14:paraId="23722491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CF187FE" w14:textId="77777777" w:rsidR="00A03E74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для громади загалом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прозорі умови надання адміністративних послуг, покращений інвестиційний клімат, надходження до місцевого бюджету за надання адміністративних послуг.</w:t>
      </w:r>
    </w:p>
    <w:p w14:paraId="08FB19C2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2417CBF8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Наші очікувані стандарти:</w:t>
      </w:r>
    </w:p>
    <w:p w14:paraId="3FF8AE2E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усі мешканці громади не більше як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роки з дня ухвалення цієї Концепції матимуть доступ до основного офісу ЦНАП чи його територіального підрозділу або віддаленого місця для роботи адміністраторів на відстані не більше  </w:t>
      </w:r>
      <w:r w:rsidRPr="004B2B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>5-10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км;</w:t>
      </w:r>
    </w:p>
    <w:p w14:paraId="423EE052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організацію роботи ЦНАП не менше 35 прийомних годин протягом тижня в тому числі роботу ЦНАП у вівторок до 20:00;  </w:t>
      </w:r>
    </w:p>
    <w:p w14:paraId="013079D1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- 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надання найважливіших адміністрат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вних послуг за інтегрованим підходом та моделлю життєвих ситуацій («народження», «шлюб», «паспорт», </w:t>
      </w: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«реєстрація бізнесу», «переїзд/придбання нерухомості», «придбання земельної ділянки», «житлова субсидія», «вихід на пенсію» тощо);</w:t>
      </w:r>
    </w:p>
    <w:p w14:paraId="3BBDFA1A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можливість оплати платних адміністративних послуг безпосередньо у приміщенні;</w:t>
      </w:r>
    </w:p>
    <w:p w14:paraId="0230939D" w14:textId="77777777" w:rsidR="00A03E74" w:rsidRPr="004B2BD5" w:rsidRDefault="00A03E74" w:rsidP="00A0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- можливість отримати довідкову інформацію щодо адміністративних послуг телефоном, електронною поштою протягом усіх робочих годин селищної, міської ради. </w:t>
      </w:r>
    </w:p>
    <w:p w14:paraId="1C9B96A6" w14:textId="77777777" w:rsidR="00A03E74" w:rsidRPr="004B2BD5" w:rsidRDefault="00A03E74" w:rsidP="00A03E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17EF2305" w14:textId="77777777" w:rsidR="00A03E74" w:rsidRPr="004B2BD5" w:rsidRDefault="00A03E74" w:rsidP="00A03E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4B2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Термін реалізації –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1</w:t>
      </w:r>
      <w:r w:rsidRPr="004B2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2</w:t>
      </w:r>
      <w:r w:rsidRPr="004B2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рр.</w:t>
      </w:r>
    </w:p>
    <w:p w14:paraId="4C1F3096" w14:textId="77777777" w:rsidR="00A03E74" w:rsidRPr="004B2BD5" w:rsidRDefault="00A03E74" w:rsidP="00A03E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496668" w14:textId="77777777" w:rsidR="00A03E74" w:rsidRPr="00910D61" w:rsidRDefault="00A03E7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03E74" w:rsidRPr="0091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6993"/>
    <w:multiLevelType w:val="multilevel"/>
    <w:tmpl w:val="0948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3C4C"/>
    <w:multiLevelType w:val="hybridMultilevel"/>
    <w:tmpl w:val="A8A2FFF8"/>
    <w:lvl w:ilvl="0" w:tplc="2B00F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67D4F"/>
    <w:multiLevelType w:val="multilevel"/>
    <w:tmpl w:val="48A8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E45BC"/>
    <w:multiLevelType w:val="multilevel"/>
    <w:tmpl w:val="241CA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F7"/>
    <w:rsid w:val="000E5AEF"/>
    <w:rsid w:val="001715D5"/>
    <w:rsid w:val="003749B6"/>
    <w:rsid w:val="00476FF7"/>
    <w:rsid w:val="005175CB"/>
    <w:rsid w:val="00713836"/>
    <w:rsid w:val="007B12C2"/>
    <w:rsid w:val="00910D61"/>
    <w:rsid w:val="00A03E74"/>
    <w:rsid w:val="00A7374F"/>
    <w:rsid w:val="00AC6C8E"/>
    <w:rsid w:val="00B440D3"/>
    <w:rsid w:val="00CB1692"/>
    <w:rsid w:val="00EC5233"/>
    <w:rsid w:val="00ED367E"/>
    <w:rsid w:val="00EF1CD1"/>
    <w:rsid w:val="00F27561"/>
    <w:rsid w:val="00FA2283"/>
    <w:rsid w:val="00FD68D1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75DF"/>
  <w15:chartTrackingRefBased/>
  <w15:docId w15:val="{DA9BF886-D7C5-4A1C-8F0E-9D0C4EA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sub">
    <w:name w:val="has-sub"/>
    <w:basedOn w:val="a"/>
    <w:rsid w:val="00EC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5233"/>
    <w:rPr>
      <w:color w:val="0000FF"/>
      <w:u w:val="single"/>
    </w:rPr>
  </w:style>
  <w:style w:type="paragraph" w:customStyle="1" w:styleId="active">
    <w:name w:val="active"/>
    <w:basedOn w:val="a"/>
    <w:rsid w:val="00EC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C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C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5233"/>
    <w:rPr>
      <w:i/>
      <w:iCs/>
    </w:rPr>
  </w:style>
  <w:style w:type="paragraph" w:styleId="a7">
    <w:name w:val="List Paragraph"/>
    <w:basedOn w:val="a"/>
    <w:uiPriority w:val="34"/>
    <w:qFormat/>
    <w:rsid w:val="00AC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1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90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76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749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2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91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34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6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277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9726">
                  <w:marLeft w:val="-120"/>
                  <w:marRight w:val="-12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7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505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Nero</cp:lastModifiedBy>
  <cp:revision>6</cp:revision>
  <dcterms:created xsi:type="dcterms:W3CDTF">2021-02-10T12:33:00Z</dcterms:created>
  <dcterms:modified xsi:type="dcterms:W3CDTF">2021-02-24T08:22:00Z</dcterms:modified>
</cp:coreProperties>
</file>